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jc w:val="center"/>
      </w:pPr>
      <w:r>
        <w:t xml:space="preserve">Karzinogene und potenziell schützende Faktoren in Tier- und Pflanzenprodukten</w:t>
      </w:r>
    </w:p>
    <w:p>
      <w:pPr>
        <w:pStyle w:val="Subtitle"/>
        <w:jc w:val="center"/>
      </w:pPr>
      <w:r>
        <w:t>Wissenschaftlich eingeordnete Vergleichstabellen für Beratung und Patienteninformation</w:t>
      </w:r>
    </w:p>
    <w:p>
      <w:pPr>
        <w:pStyle w:val="Draft"/>
        <w:jc w:val="center"/>
      </w:pPr>
      <w:r>
        <w:rPr>
          <w:b/>
          <w:color w:val="065F46"/>
          <w:sz w:val="20"/>
          <w:szCs w:val="22"/>
        </w:rPr>
        <w:t>FACHINFORMATION · KREBSPRÄVENTION · KEINE THERAPIEEMPFEHLUNG</w:t>
      </w:r>
    </w:p>
    <w:p>
      <w:pPr>
        <w:pStyle w:val="Meta"/>
        <w:jc w:val="center"/>
      </w:pPr>
      <w:r>
        <w:t xml:space="preserve">Stand: 20. August 2026</w:t>
      </w:r>
    </w:p>
    <w:p>
      <w:pPr>
        <w:pStyle w:val="Heading1"/>
      </w:pPr>
      <w:r>
        <w:t xml:space="preserve">Vor der Tabelle: Was bedeuten die Begriffe?</w:t>
      </w:r>
    </w:p>
    <w:p>
      <w:pPr>
        <w:pStyle w:val="Normal"/>
      </w:pPr>
      <w:r>
        <w:t xml:space="preserve">„Karzinogen“ bedeutet, dass eine Exposition Krebs verursachen kann. Die Einstufung sagt nicht automatisch, wie groß das Risiko bei einer üblichen Portion ist. Entscheidend sind Dosis, Häufigkeit, Dauer, Verarbeitung und individuelle Faktoren.</w:t>
      </w:r>
    </w:p>
    <w:p>
      <w:pPr>
        <w:pStyle w:val="Note"/>
      </w:pPr>
      <w:r>
        <w:t xml:space="preserve">„Antikarzinogen“ ist kein sauber definierter Lebensmittelbegriff. In diesem Dokument bezeichnet er Stoffe oder Lebensmittelmuster, die mit einem niedrigeren Risiko verbunden sind oder plausible Schutzmechanismen besitzen. Kein Lebensmittel verhindert oder behandelt Krebs zuverlässig.</w:t>
      </w:r>
    </w:p>
    <w:p>
      <w:pPr>
        <w:pStyle w:val="Heading1"/>
      </w:pPr>
      <w:r>
        <w:t xml:space="preserve">Kurzfazit</w:t>
      </w:r>
    </w:p>
    <w:p>
      <w:pPr>
        <w:pStyle w:val="Normal"/>
        <w:numPr>
          <w:ilvl w:val="0"/>
          <w:numId w:val="1"/>
        </w:numPr>
      </w:pPr>
      <w:r>
        <w:t xml:space="preserve">Die Herkunft allein entscheidet nicht: Tierische wie pflanzliche Produkte können je nach Verarbeitung oder Kontamination problematische Stoffe enthalten.</w:t>
      </w:r>
    </w:p>
    <w:p>
      <w:pPr>
        <w:pStyle w:val="Normal"/>
        <w:numPr>
          <w:ilvl w:val="0"/>
          <w:numId w:val="1"/>
        </w:numPr>
      </w:pPr>
      <w:r>
        <w:t>Die klarste lebensmittelbezogene Gefahreneinstufung betrifft verarbeitetes Fleisch; rotes Fleisch gilt als wahrscheinlich krebserregende Verzehrsexposition. Der Europäische Kodex gegen Krebs empfiehlt, verarbeitetes Fleisch möglichst zu vermeiden und rotes Fleisch zu begrenzen.</w:t>
      </w:r>
    </w:p>
    <w:p>
      <w:pPr>
        <w:pStyle w:val="Normal"/>
        <w:numPr>
          <w:ilvl w:val="0"/>
          <w:numId w:val="1"/>
        </w:numPr>
      </w:pPr>
      <w:r>
        <w:t xml:space="preserve">Bei Pflanzenprodukten stehen Alkohol, Mykotoxine, anorganisches Arsen und seltene toxische Kräuterstoffe im Vordergrund – nicht Gemüse oder Obst als Lebensmittelgruppe.</w:t>
      </w:r>
    </w:p>
    <w:p>
      <w:pPr>
        <w:pStyle w:val="Normal"/>
        <w:numPr>
          <w:ilvl w:val="0"/>
          <w:numId w:val="1"/>
        </w:numPr>
      </w:pPr>
      <w:r>
        <w:t xml:space="preserve">Am besten belegt sind ballaststoffreiche Lebensmittel und Vollkorn für ein geringeres Darmkrebsrisiko. Bei Tierprodukten ist der Schutzbefund im Wesentlichen auf Milchprodukte beziehungsweise Calcium und Darmkrebs begrenzt.</w:t>
      </w:r>
    </w:p>
    <w:p>
      <w:pPr>
        <w:pStyle w:val="Normal"/>
        <w:numPr>
          <w:ilvl w:val="0"/>
          <w:numId w:val="1"/>
        </w:numPr>
      </w:pPr>
      <w:r>
        <w:t xml:space="preserve">Mechanistische Laborbefunde zu Polyphenolen, Omega-3 oder Vitamin D rechtfertigen keine Heilversprechen und keine hoch dosierte Selbstmedikation.</w:t>
      </w:r>
    </w:p>
    <w:p>
      <w:pPr>
        <w:pStyle w:val="Heading1"/>
      </w:pPr>
      <w:r>
        <w:t xml:space="preserve">1. Karzinogene und krebsrelevante Expositionen in Tierprodukten</w:t>
      </w:r>
    </w:p>
    <w:p>
      <w:pPr>
        <w:pStyle w:val="SectionIntro"/>
      </w:pPr>
      <w:r>
        <w:t xml:space="preserve">Die Tabelle trennt das Lebensmittel selbst von Stoffen, die durch Verarbeitung, starke Hitze, Rauch oder Umweltkontamination entstehen.</w:t>
      </w:r>
    </w:p>
    <w:tbl>
      <w:tblPr>
        <w:tblW w:w="0" w:type="auto"/>
        <w:tblLayout w:type="fixed"/>
        <w:tblBorders>
          <w:top w:val="single" w:sz="4" w:color="CBD5E1"/>
          <w:left w:val="single" w:sz="4" w:color="CBD5E1"/>
          <w:bottom w:val="single" w:sz="4" w:color="CBD5E1"/>
          <w:right w:val="single" w:sz="4" w:color="CBD5E1"/>
          <w:insideH w:val="single" w:sz="4" w:color="E2E8F0"/>
          <w:insideV w:val="single" w:sz="4" w:color="E2E8F0"/>
        </w:tblBorders>
        <w:tblCellMar>
          <w:top w:w="80" w:type="dxa"/>
          <w:left w:w="80" w:type="dxa"/>
          <w:bottom w:w="80" w:type="dxa"/>
          <w:right w:w="80" w:type="dxa"/>
        </w:tblCellMar>
      </w:tblPr>
      <w:tblGrid>
        <w:gridCol w:w="2300"/>
        <w:gridCol w:w="2800"/>
        <w:gridCol w:w="3700"/>
        <w:gridCol w:w="2500"/>
        <w:gridCol w:w="3700"/>
      </w:tblGrid>
      <w:tr>
        <w:trPr>
          <w:tblHeader/>
          <w:cantSplit/>
        </w:trPr>
        <w:tc>
          <w:tcPr>
            <w:tcW w:w="2300" w:type="dxa"/>
            <w:shd w:val="clear" w:color="auto" w:fill="9F1239"/>
            <w:vAlign w:val="top"/>
            <w:tcMar>
              <w:top w:w="90" w:type="dxa"/>
              <w:left w:w="90" w:type="dxa"/>
              <w:bottom w:w="90" w:type="dxa"/>
              <w:right w:w="90" w:type="dxa"/>
            </w:tcMar>
          </w:tcPr>
          <w:p>
            <w:pPr>
              <w:spacing w:after="60"/>
            </w:pPr>
            <w:r>
              <w:rPr>
                <w:b/>
                <w:color w:val="FFFFFF"/>
                <w:sz w:val="17"/>
                <w:szCs w:val="17"/>
              </w:rPr>
              <w:t xml:space="preserve">Stoff / Exposition</w:t>
            </w:r>
          </w:p>
        </w:tc>
        <w:tc>
          <w:tcPr>
            <w:tcW w:w="2800" w:type="dxa"/>
            <w:shd w:val="clear" w:color="auto" w:fill="9F1239"/>
            <w:vAlign w:val="top"/>
            <w:tcMar>
              <w:top w:w="90" w:type="dxa"/>
              <w:left w:w="90" w:type="dxa"/>
              <w:bottom w:w="90" w:type="dxa"/>
              <w:right w:w="90" w:type="dxa"/>
            </w:tcMar>
          </w:tcPr>
          <w:p>
            <w:pPr>
              <w:spacing w:after="60"/>
            </w:pPr>
            <w:r>
              <w:rPr>
                <w:b/>
                <w:color w:val="FFFFFF"/>
                <w:sz w:val="17"/>
                <w:szCs w:val="17"/>
              </w:rPr>
              <w:t xml:space="preserve">Typische Quellen</w:t>
            </w:r>
          </w:p>
        </w:tc>
        <w:tc>
          <w:tcPr>
            <w:tcW w:w="3700" w:type="dxa"/>
            <w:shd w:val="clear" w:color="auto" w:fill="9F1239"/>
            <w:vAlign w:val="top"/>
            <w:tcMar>
              <w:top w:w="90" w:type="dxa"/>
              <w:left w:w="90" w:type="dxa"/>
              <w:bottom w:w="90" w:type="dxa"/>
              <w:right w:w="90" w:type="dxa"/>
            </w:tcMar>
          </w:tcPr>
          <w:p>
            <w:pPr>
              <w:spacing w:after="60"/>
            </w:pPr>
            <w:r>
              <w:rPr>
                <w:b/>
                <w:color w:val="FFFFFF"/>
                <w:sz w:val="17"/>
                <w:szCs w:val="17"/>
              </w:rPr>
              <w:t xml:space="preserve">Warum relevant?</w:t>
            </w:r>
          </w:p>
        </w:tc>
        <w:tc>
          <w:tcPr>
            <w:tcW w:w="2500" w:type="dxa"/>
            <w:shd w:val="clear" w:color="auto" w:fill="9F1239"/>
            <w:vAlign w:val="top"/>
            <w:tcMar>
              <w:top w:w="90" w:type="dxa"/>
              <w:left w:w="90" w:type="dxa"/>
              <w:bottom w:w="90" w:type="dxa"/>
              <w:right w:w="90" w:type="dxa"/>
            </w:tcMar>
          </w:tcPr>
          <w:p>
            <w:pPr>
              <w:spacing w:after="60"/>
            </w:pPr>
            <w:r>
              <w:rPr>
                <w:b/>
                <w:color w:val="FFFFFF"/>
                <w:sz w:val="17"/>
                <w:szCs w:val="17"/>
              </w:rPr>
              <w:t xml:space="preserve">Evidenz</w:t>
            </w:r>
          </w:p>
        </w:tc>
        <w:tc>
          <w:tcPr>
            <w:tcW w:w="3700" w:type="dxa"/>
            <w:shd w:val="clear" w:color="auto" w:fill="9F1239"/>
            <w:vAlign w:val="top"/>
            <w:tcMar>
              <w:top w:w="90" w:type="dxa"/>
              <w:left w:w="90" w:type="dxa"/>
              <w:bottom w:w="90" w:type="dxa"/>
              <w:right w:w="90" w:type="dxa"/>
            </w:tcMar>
          </w:tcPr>
          <w:p>
            <w:pPr>
              <w:spacing w:after="60"/>
            </w:pPr>
            <w:r>
              <w:rPr>
                <w:b/>
                <w:color w:val="FFFFFF"/>
                <w:sz w:val="17"/>
                <w:szCs w:val="17"/>
              </w:rPr>
              <w:t xml:space="preserve">Praktische Einordnung</w:t>
            </w:r>
          </w:p>
        </w:tc>
      </w:tr>
      <w:tr>
        <w:trPr>
          <w:cantSplit/>
        </w:trPr>
        <w:tc>
          <w:tcPr>
            <w:tcW w:w="2300" w:type="dxa"/>
            <w:shd w:val="clear" w:color="auto" w:fill="F8FAFC"/>
            <w:vAlign w:val="top"/>
            <w:tcMar>
              <w:top w:w="90" w:type="dxa"/>
              <w:left w:w="90" w:type="dxa"/>
              <w:bottom w:w="90" w:type="dxa"/>
              <w:right w:w="90" w:type="dxa"/>
            </w:tcMar>
          </w:tcPr>
          <w:p>
            <w:pPr>
              <w:spacing w:after="60"/>
            </w:pPr>
            <w:r>
              <w:rPr>
                <w:b/>
                <w:color w:val="1F2937"/>
                <w:sz w:val="17"/>
                <w:szCs w:val="17"/>
              </w:rPr>
              <w:t xml:space="preserve">Verarbeitetes Fleisch</w:t>
            </w:r>
          </w:p>
        </w:tc>
        <w:tc>
          <w:tcPr>
            <w:tcW w:w="2800" w:type="dxa"/>
            <w:shd w:val="clear" w:color="auto" w:fill="F8FAFC"/>
            <w:vAlign w:val="top"/>
            <w:tcMar>
              <w:top w:w="90" w:type="dxa"/>
              <w:left w:w="90" w:type="dxa"/>
              <w:bottom w:w="90" w:type="dxa"/>
              <w:right w:w="90" w:type="dxa"/>
            </w:tcMar>
          </w:tcPr>
          <w:p>
            <w:pPr>
              <w:spacing w:after="60"/>
            </w:pPr>
            <w:r>
              <w:rPr>
                <w:color w:val="1F2937"/>
                <w:sz w:val="17"/>
                <w:szCs w:val="17"/>
              </w:rPr>
              <w:t xml:space="preserve">Wurst, Speck, Schinken, Salami, gepökelte oder geräucherte Fleischwaren</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Der Verzehr ist als krebserregend für Menschen eingestuft; der kausale Zusammenhang ist besonders für Darmkrebs belegt.</w:t>
            </w:r>
          </w:p>
        </w:tc>
        <w:tc>
          <w:tcPr>
            <w:tcW w:w="2500" w:type="dxa"/>
            <w:shd w:val="clear" w:color="auto" w:fill="F8FAFC"/>
            <w:vAlign w:val="top"/>
            <w:tcMar>
              <w:top w:w="90" w:type="dxa"/>
              <w:left w:w="90" w:type="dxa"/>
              <w:bottom w:w="90" w:type="dxa"/>
              <w:right w:w="90" w:type="dxa"/>
            </w:tcMar>
          </w:tcPr>
          <w:p>
            <w:pPr>
              <w:spacing w:after="60"/>
            </w:pPr>
            <w:r>
              <w:rPr>
                <w:color w:val="1F2937"/>
                <w:sz w:val="17"/>
                <w:szCs w:val="17"/>
              </w:rPr>
              <w:t xml:space="preserve">HOCH – IARC Gruppe 1. Die Einstufung beschreibt die Sicherheit des Ursachenzusammenhangs, nicht die Größe des individuellen Risikos.</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Möglichst vermeiden; falls verzehrt, so selten und so wenig wie möglich. „Gruppe 1“ bedeutet nicht, dass das Risiko so groß ist wie beim Rauchen.</w:t>
            </w:r>
          </w:p>
        </w:tc>
      </w:tr>
      <w:tr>
        <w:trPr>
          <w:cantSplit/>
        </w:trPr>
        <w:tc>
          <w:tcPr>
            <w:tcW w:w="2300" w:type="dxa"/>
            <w:shd w:val="clear" w:color="auto" w:fill="FFFFFF"/>
            <w:vAlign w:val="top"/>
            <w:tcMar>
              <w:top w:w="90" w:type="dxa"/>
              <w:left w:w="90" w:type="dxa"/>
              <w:bottom w:w="90" w:type="dxa"/>
              <w:right w:w="90" w:type="dxa"/>
            </w:tcMar>
          </w:tcPr>
          <w:p>
            <w:pPr>
              <w:spacing w:after="60"/>
            </w:pPr>
            <w:r>
              <w:rPr>
                <w:b/>
                <w:color w:val="1F2937"/>
                <w:sz w:val="17"/>
                <w:szCs w:val="17"/>
              </w:rPr>
              <w:t xml:space="preserve">Rotes Fleisch</w:t>
            </w:r>
          </w:p>
        </w:tc>
        <w:tc>
          <w:tcPr>
            <w:tcW w:w="2800" w:type="dxa"/>
            <w:shd w:val="clear" w:color="auto" w:fill="FFFFFF"/>
            <w:vAlign w:val="top"/>
            <w:tcMar>
              <w:top w:w="90" w:type="dxa"/>
              <w:left w:w="90" w:type="dxa"/>
              <w:bottom w:w="90" w:type="dxa"/>
              <w:right w:w="90" w:type="dxa"/>
            </w:tcMar>
          </w:tcPr>
          <w:p>
            <w:pPr>
              <w:spacing w:after="60"/>
            </w:pPr>
            <w:r>
              <w:rPr>
                <w:color w:val="1F2937"/>
                <w:sz w:val="17"/>
                <w:szCs w:val="17"/>
              </w:rPr>
              <w:t xml:space="preserve">Rind, Schwein, Lamm, Ziege und anderes Säugetierfleisch</w:t>
            </w:r>
          </w:p>
        </w:tc>
        <w:tc>
          <w:tcPr>
            <w:tcW w:w="3700" w:type="dxa"/>
            <w:shd w:val="clear" w:color="auto" w:fill="FFFFFF"/>
            <w:vAlign w:val="top"/>
            <w:tcMar>
              <w:top w:w="90" w:type="dxa"/>
              <w:left w:w="90" w:type="dxa"/>
              <w:bottom w:w="90" w:type="dxa"/>
              <w:right w:w="90" w:type="dxa"/>
            </w:tcMar>
          </w:tcPr>
          <w:p>
            <w:pPr>
              <w:spacing w:after="60"/>
            </w:pPr>
            <w:r>
              <w:rPr>
                <w:color w:val="1F2937"/>
                <w:sz w:val="17"/>
                <w:szCs w:val="17"/>
              </w:rPr>
              <w:t xml:space="preserve">Wahrscheinlich krebserregende Verzehrsexposition; die stärksten Hinweise betreffen Darmkrebs. Häm-Eisen und Zubereitungsprodukte werden als Mechanismen diskutiert.</w:t>
            </w:r>
          </w:p>
        </w:tc>
        <w:tc>
          <w:tcPr>
            <w:tcW w:w="2500" w:type="dxa"/>
            <w:shd w:val="clear" w:color="auto" w:fill="FFFFFF"/>
            <w:vAlign w:val="top"/>
            <w:tcMar>
              <w:top w:w="90" w:type="dxa"/>
              <w:left w:w="90" w:type="dxa"/>
              <w:bottom w:w="90" w:type="dxa"/>
              <w:right w:w="90" w:type="dxa"/>
            </w:tcMar>
          </w:tcPr>
          <w:p>
            <w:pPr>
              <w:spacing w:after="60"/>
            </w:pPr>
            <w:r>
              <w:rPr>
                <w:color w:val="1F2937"/>
                <w:sz w:val="17"/>
                <w:szCs w:val="17"/>
              </w:rPr>
              <w:t xml:space="preserve">MITTEL bis HOCH – IARC Gruppe 2A (wahrscheinlich krebserregend).</w:t>
            </w:r>
          </w:p>
        </w:tc>
        <w:tc>
          <w:tcPr>
            <w:tcW w:w="3700" w:type="dxa"/>
            <w:shd w:val="clear" w:color="auto" w:fill="FFFFFF"/>
            <w:vAlign w:val="top"/>
            <w:tcMar>
              <w:top w:w="90" w:type="dxa"/>
              <w:left w:w="90" w:type="dxa"/>
              <w:bottom w:w="90" w:type="dxa"/>
              <w:right w:w="90" w:type="dxa"/>
            </w:tcMar>
          </w:tcPr>
          <w:p>
            <w:pPr>
              <w:spacing w:after="60"/>
            </w:pPr>
            <w:r>
              <w:rPr>
                <w:color w:val="1F2937"/>
                <w:sz w:val="17"/>
                <w:szCs w:val="17"/>
              </w:rPr>
              <w:t xml:space="preserve">Menge begrenzen und pflanzliche Proteinquellen regelmäßig einbauen. Geflügel und Fisch wurden in dieser IARC-Bewertung nicht mitbewertet.</w:t>
            </w:r>
          </w:p>
        </w:tc>
      </w:tr>
      <w:tr>
        <w:trPr>
          <w:cantSplit/>
        </w:trPr>
        <w:tc>
          <w:tcPr>
            <w:tcW w:w="2300" w:type="dxa"/>
            <w:shd w:val="clear" w:color="auto" w:fill="F8FAFC"/>
            <w:vAlign w:val="top"/>
            <w:tcMar>
              <w:top w:w="90" w:type="dxa"/>
              <w:left w:w="90" w:type="dxa"/>
              <w:bottom w:w="90" w:type="dxa"/>
              <w:right w:w="90" w:type="dxa"/>
            </w:tcMar>
          </w:tcPr>
          <w:p>
            <w:pPr>
              <w:spacing w:after="60"/>
            </w:pPr>
            <w:r>
              <w:rPr>
                <w:b/>
                <w:color w:val="1F2937"/>
                <w:sz w:val="17"/>
                <w:szCs w:val="17"/>
              </w:rPr>
              <w:t xml:space="preserve">Heterozyklische Amine (HCA)</w:t>
            </w:r>
          </w:p>
        </w:tc>
        <w:tc>
          <w:tcPr>
            <w:tcW w:w="2800" w:type="dxa"/>
            <w:shd w:val="clear" w:color="auto" w:fill="F8FAFC"/>
            <w:vAlign w:val="top"/>
            <w:tcMar>
              <w:top w:w="90" w:type="dxa"/>
              <w:left w:w="90" w:type="dxa"/>
              <w:bottom w:w="90" w:type="dxa"/>
              <w:right w:w="90" w:type="dxa"/>
            </w:tcMar>
          </w:tcPr>
          <w:p>
            <w:pPr>
              <w:spacing w:after="60"/>
            </w:pPr>
            <w:r>
              <w:rPr>
                <w:color w:val="1F2937"/>
                <w:sz w:val="17"/>
                <w:szCs w:val="17"/>
              </w:rPr>
              <w:t xml:space="preserve">Stark gebratenes, gegrilltes oder sehr dunkel gegartes Fleisch, Geflügel und Fisch</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Entstehen aus Aminosäuren, Zucker und Kreatin/Kreatinin bei hoher Temperatur; in Laborversuchen mutagen. Die Höhe hängt stark von Temperatur, Garzeit und Bräunung ab.</w:t>
            </w:r>
          </w:p>
        </w:tc>
        <w:tc>
          <w:tcPr>
            <w:tcW w:w="2500" w:type="dxa"/>
            <w:shd w:val="clear" w:color="auto" w:fill="F8FAFC"/>
            <w:vAlign w:val="top"/>
            <w:tcMar>
              <w:top w:w="90" w:type="dxa"/>
              <w:left w:w="90" w:type="dxa"/>
              <w:bottom w:w="90" w:type="dxa"/>
              <w:right w:w="90" w:type="dxa"/>
            </w:tcMar>
          </w:tcPr>
          <w:p>
            <w:pPr>
              <w:spacing w:after="60"/>
            </w:pPr>
            <w:r>
              <w:rPr>
                <w:color w:val="1F2937"/>
                <w:sz w:val="17"/>
                <w:szCs w:val="17"/>
              </w:rPr>
              <w:t xml:space="preserve">BEGRENZT für das konkrete Krebsrisiko beim Menschen; mechanistisch plausibel und experimentell gut belegt.</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Verkohlte Stellen vermeiden, häufiger schmoren/dämpfen, kürzer und bei geringerer Temperatur garen; häufig wenden.</w:t>
            </w:r>
          </w:p>
        </w:tc>
      </w:tr>
      <w:tr>
        <w:trPr>
          <w:cantSplit/>
        </w:trPr>
        <w:tc>
          <w:tcPr>
            <w:tcW w:w="2300" w:type="dxa"/>
            <w:shd w:val="clear" w:color="auto" w:fill="FFFFFF"/>
            <w:vAlign w:val="top"/>
            <w:tcMar>
              <w:top w:w="90" w:type="dxa"/>
              <w:left w:w="90" w:type="dxa"/>
              <w:bottom w:w="90" w:type="dxa"/>
              <w:right w:w="90" w:type="dxa"/>
            </w:tcMar>
          </w:tcPr>
          <w:p>
            <w:pPr>
              <w:spacing w:after="60"/>
            </w:pPr>
            <w:r>
              <w:rPr>
                <w:b/>
                <w:color w:val="1F2937"/>
                <w:sz w:val="17"/>
                <w:szCs w:val="17"/>
              </w:rPr>
              <w:t xml:space="preserve">Polyzyklische aromatische Kohlenwasserstoffe (PAK)</w:t>
            </w:r>
          </w:p>
        </w:tc>
        <w:tc>
          <w:tcPr>
            <w:tcW w:w="2800" w:type="dxa"/>
            <w:shd w:val="clear" w:color="auto" w:fill="FFFFFF"/>
            <w:vAlign w:val="top"/>
            <w:tcMar>
              <w:top w:w="90" w:type="dxa"/>
              <w:left w:w="90" w:type="dxa"/>
              <w:bottom w:w="90" w:type="dxa"/>
              <w:right w:w="90" w:type="dxa"/>
            </w:tcMar>
          </w:tcPr>
          <w:p>
            <w:pPr>
              <w:spacing w:after="60"/>
            </w:pPr>
            <w:r>
              <w:rPr>
                <w:color w:val="1F2937"/>
                <w:sz w:val="17"/>
                <w:szCs w:val="17"/>
              </w:rPr>
              <w:t xml:space="preserve">Direkt über Flamme gegrillte oder geräucherte tierische Lebensmittel; Rauch lagert sich an der Oberfläche ab</w:t>
            </w:r>
          </w:p>
        </w:tc>
        <w:tc>
          <w:tcPr>
            <w:tcW w:w="3700" w:type="dxa"/>
            <w:shd w:val="clear" w:color="auto" w:fill="FFFFFF"/>
            <w:vAlign w:val="top"/>
            <w:tcMar>
              <w:top w:w="90" w:type="dxa"/>
              <w:left w:w="90" w:type="dxa"/>
              <w:bottom w:w="90" w:type="dxa"/>
              <w:right w:w="90" w:type="dxa"/>
            </w:tcMar>
          </w:tcPr>
          <w:p>
            <w:pPr>
              <w:spacing w:after="60"/>
            </w:pPr>
            <w:r>
              <w:rPr>
                <w:color w:val="1F2937"/>
                <w:sz w:val="17"/>
                <w:szCs w:val="17"/>
              </w:rPr>
              <w:t xml:space="preserve">Entstehen unter anderem, wenn Fett in Feuer oder auf sehr heiße Flächen tropft. Einige einzelne PAK sind Humankarzinogene.</w:t>
            </w:r>
          </w:p>
        </w:tc>
        <w:tc>
          <w:tcPr>
            <w:tcW w:w="2500" w:type="dxa"/>
            <w:shd w:val="clear" w:color="auto" w:fill="FFFFFF"/>
            <w:vAlign w:val="top"/>
            <w:tcMar>
              <w:top w:w="90" w:type="dxa"/>
              <w:left w:w="90" w:type="dxa"/>
              <w:bottom w:w="90" w:type="dxa"/>
              <w:right w:w="90" w:type="dxa"/>
            </w:tcMar>
          </w:tcPr>
          <w:p>
            <w:pPr>
              <w:spacing w:after="60"/>
            </w:pPr>
            <w:r>
              <w:rPr>
                <w:color w:val="1F2937"/>
                <w:sz w:val="17"/>
                <w:szCs w:val="17"/>
              </w:rPr>
              <w:t xml:space="preserve">STOFFABHÄNGIG – Prozesskontaminanten; nicht auf Tierprodukte beschränkt.</w:t>
            </w:r>
          </w:p>
        </w:tc>
        <w:tc>
          <w:tcPr>
            <w:tcW w:w="3700" w:type="dxa"/>
            <w:shd w:val="clear" w:color="auto" w:fill="FFFFFF"/>
            <w:vAlign w:val="top"/>
            <w:tcMar>
              <w:top w:w="90" w:type="dxa"/>
              <w:left w:w="90" w:type="dxa"/>
              <w:bottom w:w="90" w:type="dxa"/>
              <w:right w:w="90" w:type="dxa"/>
            </w:tcMar>
          </w:tcPr>
          <w:p>
            <w:pPr>
              <w:spacing w:after="60"/>
            </w:pPr>
            <w:r>
              <w:rPr>
                <w:color w:val="1F2937"/>
                <w:sz w:val="17"/>
                <w:szCs w:val="17"/>
              </w:rPr>
              <w:t xml:space="preserve">Direkten Flammenkontakt und starke Rauchentwicklung vermeiden; angebrannte Teile nicht mitessen.</w:t>
            </w:r>
          </w:p>
        </w:tc>
      </w:tr>
      <w:tr>
        <w:trPr>
          <w:cantSplit/>
        </w:trPr>
        <w:tc>
          <w:tcPr>
            <w:tcW w:w="2300" w:type="dxa"/>
            <w:shd w:val="clear" w:color="auto" w:fill="F8FAFC"/>
            <w:vAlign w:val="top"/>
            <w:tcMar>
              <w:top w:w="90" w:type="dxa"/>
              <w:left w:w="90" w:type="dxa"/>
              <w:bottom w:w="90" w:type="dxa"/>
              <w:right w:w="90" w:type="dxa"/>
            </w:tcMar>
          </w:tcPr>
          <w:p>
            <w:pPr>
              <w:spacing w:after="60"/>
            </w:pPr>
            <w:r>
              <w:rPr>
                <w:b/>
                <w:color w:val="1F2937"/>
                <w:sz w:val="17"/>
                <w:szCs w:val="17"/>
              </w:rPr>
              <w:t xml:space="preserve">N-Nitroso-Verbindungen</w:t>
            </w:r>
          </w:p>
        </w:tc>
        <w:tc>
          <w:tcPr>
            <w:tcW w:w="2800" w:type="dxa"/>
            <w:shd w:val="clear" w:color="auto" w:fill="F8FAFC"/>
            <w:vAlign w:val="top"/>
            <w:tcMar>
              <w:top w:w="90" w:type="dxa"/>
              <w:left w:w="90" w:type="dxa"/>
              <w:bottom w:w="90" w:type="dxa"/>
              <w:right w:w="90" w:type="dxa"/>
            </w:tcMar>
          </w:tcPr>
          <w:p>
            <w:pPr>
              <w:spacing w:after="60"/>
            </w:pPr>
            <w:r>
              <w:rPr>
                <w:color w:val="1F2937"/>
                <w:sz w:val="17"/>
                <w:szCs w:val="17"/>
              </w:rPr>
              <w:t xml:space="preserve">Vor allem gepökelte Fleischwaren; können bei Verarbeitung oder im Körper aus Nitrit/Nitrat und Aminen entstehen</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Mehrere N-Nitroso-Verbindungen sind krebserregend. Wie stark sie den beobachteten Effekt von verarbeitetem Fleisch erklären, ist nicht vollständig geklärt.</w:t>
            </w:r>
          </w:p>
        </w:tc>
        <w:tc>
          <w:tcPr>
            <w:tcW w:w="2500" w:type="dxa"/>
            <w:shd w:val="clear" w:color="auto" w:fill="F8FAFC"/>
            <w:vAlign w:val="top"/>
            <w:tcMar>
              <w:top w:w="90" w:type="dxa"/>
              <w:left w:w="90" w:type="dxa"/>
              <w:bottom w:w="90" w:type="dxa"/>
              <w:right w:w="90" w:type="dxa"/>
            </w:tcMar>
          </w:tcPr>
          <w:p>
            <w:pPr>
              <w:spacing w:after="60"/>
            </w:pPr>
            <w:r>
              <w:rPr>
                <w:color w:val="1F2937"/>
                <w:sz w:val="17"/>
                <w:szCs w:val="17"/>
              </w:rPr>
              <w:t xml:space="preserve">MECHANISTISCH PLAUSIBEL; Beitrag zum realen Risiko nicht exakt quantifiziert.</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Nicht einzelne Zusatzstoffe isoliert bewerten: Entscheidend ist, verarbeitete Fleischwaren insgesamt zu begrenzen.</w:t>
            </w:r>
          </w:p>
        </w:tc>
      </w:tr>
      <w:tr>
        <w:trPr>
          <w:cantSplit/>
        </w:trPr>
        <w:tc>
          <w:tcPr>
            <w:tcW w:w="2300" w:type="dxa"/>
            <w:shd w:val="clear" w:color="auto" w:fill="FFFFFF"/>
            <w:vAlign w:val="top"/>
            <w:tcMar>
              <w:top w:w="90" w:type="dxa"/>
              <w:left w:w="90" w:type="dxa"/>
              <w:bottom w:w="90" w:type="dxa"/>
              <w:right w:w="90" w:type="dxa"/>
            </w:tcMar>
          </w:tcPr>
          <w:p>
            <w:pPr>
              <w:spacing w:after="60"/>
            </w:pPr>
            <w:r>
              <w:rPr>
                <w:b/>
                <w:color w:val="1F2937"/>
                <w:sz w:val="17"/>
                <w:szCs w:val="17"/>
              </w:rPr>
              <w:t xml:space="preserve">Dioxine und bestimmte PCB</w:t>
            </w:r>
          </w:p>
        </w:tc>
        <w:tc>
          <w:tcPr>
            <w:tcW w:w="2800" w:type="dxa"/>
            <w:shd w:val="clear" w:color="auto" w:fill="FFFFFF"/>
            <w:vAlign w:val="top"/>
            <w:tcMar>
              <w:top w:w="90" w:type="dxa"/>
              <w:left w:w="90" w:type="dxa"/>
              <w:bottom w:w="90" w:type="dxa"/>
              <w:right w:w="90" w:type="dxa"/>
            </w:tcMar>
          </w:tcPr>
          <w:p>
            <w:pPr>
              <w:spacing w:after="60"/>
            </w:pPr>
            <w:r>
              <w:rPr>
                <w:color w:val="1F2937"/>
                <w:sz w:val="17"/>
                <w:szCs w:val="17"/>
              </w:rPr>
              <w:t xml:space="preserve">Umweltkontaminanten, die sich in der Nahrungskette und besonders im Fettgewebe anreichern können</w:t>
            </w:r>
          </w:p>
        </w:tc>
        <w:tc>
          <w:tcPr>
            <w:tcW w:w="3700" w:type="dxa"/>
            <w:shd w:val="clear" w:color="auto" w:fill="FFFFFF"/>
            <w:vAlign w:val="top"/>
            <w:tcMar>
              <w:top w:w="90" w:type="dxa"/>
              <w:left w:w="90" w:type="dxa"/>
              <w:bottom w:w="90" w:type="dxa"/>
              <w:right w:w="90" w:type="dxa"/>
            </w:tcMar>
          </w:tcPr>
          <w:p>
            <w:pPr>
              <w:spacing w:after="60"/>
            </w:pPr>
            <w:r>
              <w:rPr>
                <w:color w:val="1F2937"/>
                <w:sz w:val="17"/>
                <w:szCs w:val="17"/>
              </w:rPr>
              <w:t xml:space="preserve">Einige Vertreter sind als krebserregend eingestuft. Ihr Vorkommen ist eine Kontaminationsfrage und keine natürliche Eigenschaft von Fleisch, Fisch, Ei oder Milch.</w:t>
            </w:r>
          </w:p>
        </w:tc>
        <w:tc>
          <w:tcPr>
            <w:tcW w:w="2500" w:type="dxa"/>
            <w:shd w:val="clear" w:color="auto" w:fill="FFFFFF"/>
            <w:vAlign w:val="top"/>
            <w:tcMar>
              <w:top w:w="90" w:type="dxa"/>
              <w:left w:w="90" w:type="dxa"/>
              <w:bottom w:w="90" w:type="dxa"/>
              <w:right w:w="90" w:type="dxa"/>
            </w:tcMar>
          </w:tcPr>
          <w:p>
            <w:pPr>
              <w:spacing w:after="60"/>
            </w:pPr>
            <w:r>
              <w:rPr>
                <w:color w:val="1F2937"/>
                <w:sz w:val="17"/>
                <w:szCs w:val="17"/>
              </w:rPr>
              <w:t xml:space="preserve">HOCH für einzelne Stoffe; tatsächliche Lebensmittelbelastung wird reguliert und überwacht.</w:t>
            </w:r>
          </w:p>
        </w:tc>
        <w:tc>
          <w:tcPr>
            <w:tcW w:w="3700" w:type="dxa"/>
            <w:shd w:val="clear" w:color="auto" w:fill="FFFFFF"/>
            <w:vAlign w:val="top"/>
            <w:tcMar>
              <w:top w:w="90" w:type="dxa"/>
              <w:left w:w="90" w:type="dxa"/>
              <w:bottom w:w="90" w:type="dxa"/>
              <w:right w:w="90" w:type="dxa"/>
            </w:tcMar>
          </w:tcPr>
          <w:p>
            <w:pPr>
              <w:spacing w:after="60"/>
            </w:pPr>
            <w:r>
              <w:rPr>
                <w:color w:val="1F2937"/>
                <w:sz w:val="17"/>
                <w:szCs w:val="17"/>
              </w:rPr>
              <w:t xml:space="preserve">Abwechslungsreich essen und regionale Verzehrhinweise beachten; keine pauschale Meidung nährstoffreicher Lebensmittel ableiten.</w:t>
            </w:r>
          </w:p>
        </w:tc>
      </w:tr>
      <w:tr>
        <w:trPr>
          <w:cantSplit/>
        </w:trPr>
        <w:tc>
          <w:tcPr>
            <w:tcW w:w="2300" w:type="dxa"/>
            <w:shd w:val="clear" w:color="auto" w:fill="F8FAFC"/>
            <w:vAlign w:val="top"/>
            <w:tcMar>
              <w:top w:w="90" w:type="dxa"/>
              <w:left w:w="90" w:type="dxa"/>
              <w:bottom w:w="90" w:type="dxa"/>
              <w:right w:w="90" w:type="dxa"/>
            </w:tcMar>
          </w:tcPr>
          <w:p>
            <w:pPr>
              <w:spacing w:after="60"/>
            </w:pPr>
            <w:r>
              <w:rPr>
                <w:b/>
                <w:color w:val="1F2937"/>
                <w:sz w:val="17"/>
                <w:szCs w:val="17"/>
              </w:rPr>
              <w:t xml:space="preserve">Aflatoxin M1</w:t>
            </w:r>
          </w:p>
        </w:tc>
        <w:tc>
          <w:tcPr>
            <w:tcW w:w="2800" w:type="dxa"/>
            <w:shd w:val="clear" w:color="auto" w:fill="F8FAFC"/>
            <w:vAlign w:val="top"/>
            <w:tcMar>
              <w:top w:w="90" w:type="dxa"/>
              <w:left w:w="90" w:type="dxa"/>
              <w:bottom w:w="90" w:type="dxa"/>
              <w:right w:w="90" w:type="dxa"/>
            </w:tcMar>
          </w:tcPr>
          <w:p>
            <w:pPr>
              <w:spacing w:after="60"/>
            </w:pPr>
            <w:r>
              <w:rPr>
                <w:color w:val="1F2937"/>
                <w:sz w:val="17"/>
                <w:szCs w:val="17"/>
              </w:rPr>
              <w:t xml:space="preserve">Milch von Tieren, die aflatoxinbelastetes Futter aufgenommen haben</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Metabolit von Aflatoxin B1. Das mögliche Vorkommen zeigt, dass Kontaminanten die Grenze zwischen Tier- und Pflanzenprodukt überschreiten können.</w:t>
            </w:r>
          </w:p>
        </w:tc>
        <w:tc>
          <w:tcPr>
            <w:tcW w:w="2500" w:type="dxa"/>
            <w:shd w:val="clear" w:color="auto" w:fill="F8FAFC"/>
            <w:vAlign w:val="top"/>
            <w:tcMar>
              <w:top w:w="90" w:type="dxa"/>
              <w:left w:w="90" w:type="dxa"/>
              <w:bottom w:w="90" w:type="dxa"/>
              <w:right w:w="90" w:type="dxa"/>
            </w:tcMar>
          </w:tcPr>
          <w:p>
            <w:pPr>
              <w:spacing w:after="60"/>
            </w:pPr>
            <w:r>
              <w:rPr>
                <w:color w:val="1F2937"/>
                <w:sz w:val="17"/>
                <w:szCs w:val="17"/>
              </w:rPr>
              <w:t xml:space="preserve">IARC: möglicherweise krebserregend (Gruppe 2B); gesetzliche Höchstgehalte sind sehr niedrig.</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Bei regulär kontrollierter Handelsware ist dies vor allem ein Thema der Lebensmittelsicherheit, nicht der Eigenkontrolle zu Hause.</w:t>
            </w:r>
          </w:p>
        </w:tc>
      </w:tr>
    </w:tbl>
    <w:p>
      <w:pPr>
        <w:pStyle w:val="Caption"/>
      </w:pPr>
      <w:r>
        <w:t xml:space="preserve">Hinweis: Die IARC-Gruppen beschreiben die Stärke des wissenschaftlichen Nachweises, dass etwas Krebs verursachen kann. Sie sind keine Rangliste der Risikogröße.</w:t>
      </w:r>
    </w:p>
    <w:p>
      <w:pPr>
        <w:pStyle w:val="Heading1"/>
      </w:pPr>
      <w:r>
        <w:t xml:space="preserve">2. Karzinogene und krebsrelevante Expositionen in Pflanzenprodukten</w:t>
      </w:r>
    </w:p>
    <w:p>
      <w:pPr>
        <w:pStyle w:val="SectionIntro"/>
      </w:pPr>
      <w:r>
        <w:t xml:space="preserve">Viele Einträge sind Kontaminanten oder besondere Zubereitungsformen. Daraus darf nicht abgeleitet werden, dass pflanzliche Ernährung allgemein krebserregend sei.</w:t>
      </w:r>
    </w:p>
    <w:tbl>
      <w:tblPr>
        <w:tblW w:w="0" w:type="auto"/>
        <w:tblLayout w:type="fixed"/>
        <w:tblBorders>
          <w:top w:val="single" w:sz="4" w:color="CBD5E1"/>
          <w:left w:val="single" w:sz="4" w:color="CBD5E1"/>
          <w:bottom w:val="single" w:sz="4" w:color="CBD5E1"/>
          <w:right w:val="single" w:sz="4" w:color="CBD5E1"/>
          <w:insideH w:val="single" w:sz="4" w:color="E2E8F0"/>
          <w:insideV w:val="single" w:sz="4" w:color="E2E8F0"/>
        </w:tblBorders>
        <w:tblCellMar>
          <w:top w:w="80" w:type="dxa"/>
          <w:left w:w="80" w:type="dxa"/>
          <w:bottom w:w="80" w:type="dxa"/>
          <w:right w:w="80" w:type="dxa"/>
        </w:tblCellMar>
      </w:tblPr>
      <w:tblGrid>
        <w:gridCol w:w="2300"/>
        <w:gridCol w:w="2800"/>
        <w:gridCol w:w="3700"/>
        <w:gridCol w:w="2500"/>
        <w:gridCol w:w="3700"/>
      </w:tblGrid>
      <w:tr>
        <w:trPr>
          <w:tblHeader/>
          <w:cantSplit/>
        </w:trPr>
        <w:tc>
          <w:tcPr>
            <w:tcW w:w="2300" w:type="dxa"/>
            <w:shd w:val="clear" w:color="auto" w:fill="B45309"/>
            <w:vAlign w:val="top"/>
            <w:tcMar>
              <w:top w:w="90" w:type="dxa"/>
              <w:left w:w="90" w:type="dxa"/>
              <w:bottom w:w="90" w:type="dxa"/>
              <w:right w:w="90" w:type="dxa"/>
            </w:tcMar>
          </w:tcPr>
          <w:p>
            <w:pPr>
              <w:spacing w:after="60"/>
            </w:pPr>
            <w:r>
              <w:rPr>
                <w:b/>
                <w:color w:val="FFFFFF"/>
                <w:sz w:val="17"/>
                <w:szCs w:val="17"/>
              </w:rPr>
              <w:t xml:space="preserve">Stoff / Exposition</w:t>
            </w:r>
          </w:p>
        </w:tc>
        <w:tc>
          <w:tcPr>
            <w:tcW w:w="2800" w:type="dxa"/>
            <w:shd w:val="clear" w:color="auto" w:fill="B45309"/>
            <w:vAlign w:val="top"/>
            <w:tcMar>
              <w:top w:w="90" w:type="dxa"/>
              <w:left w:w="90" w:type="dxa"/>
              <w:bottom w:w="90" w:type="dxa"/>
              <w:right w:w="90" w:type="dxa"/>
            </w:tcMar>
          </w:tcPr>
          <w:p>
            <w:pPr>
              <w:spacing w:after="60"/>
            </w:pPr>
            <w:r>
              <w:rPr>
                <w:b/>
                <w:color w:val="FFFFFF"/>
                <w:sz w:val="17"/>
                <w:szCs w:val="17"/>
              </w:rPr>
              <w:t xml:space="preserve">Typische Quellen</w:t>
            </w:r>
          </w:p>
        </w:tc>
        <w:tc>
          <w:tcPr>
            <w:tcW w:w="3700" w:type="dxa"/>
            <w:shd w:val="clear" w:color="auto" w:fill="B45309"/>
            <w:vAlign w:val="top"/>
            <w:tcMar>
              <w:top w:w="90" w:type="dxa"/>
              <w:left w:w="90" w:type="dxa"/>
              <w:bottom w:w="90" w:type="dxa"/>
              <w:right w:w="90" w:type="dxa"/>
            </w:tcMar>
          </w:tcPr>
          <w:p>
            <w:pPr>
              <w:spacing w:after="60"/>
            </w:pPr>
            <w:r>
              <w:rPr>
                <w:b/>
                <w:color w:val="FFFFFF"/>
                <w:sz w:val="17"/>
                <w:szCs w:val="17"/>
              </w:rPr>
              <w:t xml:space="preserve">Warum relevant?</w:t>
            </w:r>
          </w:p>
        </w:tc>
        <w:tc>
          <w:tcPr>
            <w:tcW w:w="2500" w:type="dxa"/>
            <w:shd w:val="clear" w:color="auto" w:fill="B45309"/>
            <w:vAlign w:val="top"/>
            <w:tcMar>
              <w:top w:w="90" w:type="dxa"/>
              <w:left w:w="90" w:type="dxa"/>
              <w:bottom w:w="90" w:type="dxa"/>
              <w:right w:w="90" w:type="dxa"/>
            </w:tcMar>
          </w:tcPr>
          <w:p>
            <w:pPr>
              <w:spacing w:after="60"/>
            </w:pPr>
            <w:r>
              <w:rPr>
                <w:b/>
                <w:color w:val="FFFFFF"/>
                <w:sz w:val="17"/>
                <w:szCs w:val="17"/>
              </w:rPr>
              <w:t xml:space="preserve">Evidenz</w:t>
            </w:r>
          </w:p>
        </w:tc>
        <w:tc>
          <w:tcPr>
            <w:tcW w:w="3700" w:type="dxa"/>
            <w:shd w:val="clear" w:color="auto" w:fill="B45309"/>
            <w:vAlign w:val="top"/>
            <w:tcMar>
              <w:top w:w="90" w:type="dxa"/>
              <w:left w:w="90" w:type="dxa"/>
              <w:bottom w:w="90" w:type="dxa"/>
              <w:right w:w="90" w:type="dxa"/>
            </w:tcMar>
          </w:tcPr>
          <w:p>
            <w:pPr>
              <w:spacing w:after="60"/>
            </w:pPr>
            <w:r>
              <w:rPr>
                <w:b/>
                <w:color w:val="FFFFFF"/>
                <w:sz w:val="17"/>
                <w:szCs w:val="17"/>
              </w:rPr>
              <w:t xml:space="preserve">Praktische Einordnung</w:t>
            </w:r>
          </w:p>
        </w:tc>
      </w:tr>
      <w:tr>
        <w:trPr>
          <w:cantSplit/>
        </w:trPr>
        <w:tc>
          <w:tcPr>
            <w:tcW w:w="2300" w:type="dxa"/>
            <w:shd w:val="clear" w:color="auto" w:fill="F8FAFC"/>
            <w:vAlign w:val="top"/>
            <w:tcMar>
              <w:top w:w="90" w:type="dxa"/>
              <w:left w:w="90" w:type="dxa"/>
              <w:bottom w:w="90" w:type="dxa"/>
              <w:right w:w="90" w:type="dxa"/>
            </w:tcMar>
          </w:tcPr>
          <w:p>
            <w:pPr>
              <w:spacing w:after="60"/>
            </w:pPr>
            <w:r>
              <w:rPr>
                <w:b/>
                <w:color w:val="1F2937"/>
                <w:sz w:val="17"/>
                <w:szCs w:val="17"/>
              </w:rPr>
              <w:t xml:space="preserve">Ethanol und Acetaldehyd aus alkoholischen Getränken</w:t>
            </w:r>
          </w:p>
        </w:tc>
        <w:tc>
          <w:tcPr>
            <w:tcW w:w="2800" w:type="dxa"/>
            <w:shd w:val="clear" w:color="auto" w:fill="F8FAFC"/>
            <w:vAlign w:val="top"/>
            <w:tcMar>
              <w:top w:w="90" w:type="dxa"/>
              <w:left w:w="90" w:type="dxa"/>
              <w:bottom w:w="90" w:type="dxa"/>
              <w:right w:w="90" w:type="dxa"/>
            </w:tcMar>
          </w:tcPr>
          <w:p>
            <w:pPr>
              <w:spacing w:after="60"/>
            </w:pPr>
            <w:r>
              <w:rPr>
                <w:color w:val="1F2937"/>
                <w:sz w:val="17"/>
                <w:szCs w:val="17"/>
              </w:rPr>
              <w:t xml:space="preserve">Bier, Wein, Spirituosen und andere vergorene Getränke pflanzlicher Ausgangsstoffe</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Alkoholische Getränke, Ethanol in alkoholischen Getränken und das dabei entstehende Acetaldehyd sind krebserregend. Betroffen sind unter anderem Mund, Rachen, Kehlkopf, Speiseröhre, Leber, Darm und Brust.</w:t>
            </w:r>
          </w:p>
        </w:tc>
        <w:tc>
          <w:tcPr>
            <w:tcW w:w="2500" w:type="dxa"/>
            <w:shd w:val="clear" w:color="auto" w:fill="F8FAFC"/>
            <w:vAlign w:val="top"/>
            <w:tcMar>
              <w:top w:w="90" w:type="dxa"/>
              <w:left w:w="90" w:type="dxa"/>
              <w:bottom w:w="90" w:type="dxa"/>
              <w:right w:w="90" w:type="dxa"/>
            </w:tcMar>
          </w:tcPr>
          <w:p>
            <w:pPr>
              <w:spacing w:after="60"/>
            </w:pPr>
            <w:r>
              <w:rPr>
                <w:color w:val="1F2937"/>
                <w:sz w:val="17"/>
                <w:szCs w:val="17"/>
              </w:rPr>
              <w:t xml:space="preserve">HOCH – IARC Gruppe 1.</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Zur Krebsprävention am besten keinen Alkohol trinken. Bereits geringe Mengen können das Krebsrisiko erhöhen; jede Reduktion senkt die Exposition.</w:t>
            </w:r>
          </w:p>
        </w:tc>
      </w:tr>
      <w:tr>
        <w:trPr>
          <w:cantSplit/>
        </w:trPr>
        <w:tc>
          <w:tcPr>
            <w:tcW w:w="2300" w:type="dxa"/>
            <w:shd w:val="clear" w:color="auto" w:fill="FFFFFF"/>
            <w:vAlign w:val="top"/>
            <w:tcMar>
              <w:top w:w="90" w:type="dxa"/>
              <w:left w:w="90" w:type="dxa"/>
              <w:bottom w:w="90" w:type="dxa"/>
              <w:right w:w="90" w:type="dxa"/>
            </w:tcMar>
          </w:tcPr>
          <w:p>
            <w:pPr>
              <w:spacing w:after="60"/>
            </w:pPr>
            <w:r>
              <w:rPr>
                <w:b/>
                <w:color w:val="1F2937"/>
                <w:sz w:val="17"/>
                <w:szCs w:val="17"/>
              </w:rPr>
              <w:t xml:space="preserve">Aflatoxin B1 und Aflatoxin-Gemische</w:t>
            </w:r>
          </w:p>
        </w:tc>
        <w:tc>
          <w:tcPr>
            <w:tcW w:w="2800" w:type="dxa"/>
            <w:shd w:val="clear" w:color="auto" w:fill="FFFFFF"/>
            <w:vAlign w:val="top"/>
            <w:tcMar>
              <w:top w:w="90" w:type="dxa"/>
              <w:left w:w="90" w:type="dxa"/>
              <w:bottom w:w="90" w:type="dxa"/>
              <w:right w:w="90" w:type="dxa"/>
            </w:tcMar>
          </w:tcPr>
          <w:p>
            <w:pPr>
              <w:spacing w:after="60"/>
            </w:pPr>
            <w:r>
              <w:rPr>
                <w:color w:val="1F2937"/>
                <w:sz w:val="17"/>
                <w:szCs w:val="17"/>
              </w:rPr>
              <w:t xml:space="preserve">Schimmelbelastete Erdnüsse, Mais, Nüsse, Getreide, Gewürze und Trockenfrüchte</w:t>
            </w:r>
          </w:p>
        </w:tc>
        <w:tc>
          <w:tcPr>
            <w:tcW w:w="3700" w:type="dxa"/>
            <w:shd w:val="clear" w:color="auto" w:fill="FFFFFF"/>
            <w:vAlign w:val="top"/>
            <w:tcMar>
              <w:top w:w="90" w:type="dxa"/>
              <w:left w:w="90" w:type="dxa"/>
              <w:bottom w:w="90" w:type="dxa"/>
              <w:right w:w="90" w:type="dxa"/>
            </w:tcMar>
          </w:tcPr>
          <w:p>
            <w:pPr>
              <w:spacing w:after="60"/>
            </w:pPr>
            <w:r>
              <w:rPr>
                <w:color w:val="1F2937"/>
                <w:sz w:val="17"/>
                <w:szCs w:val="17"/>
              </w:rPr>
              <w:t xml:space="preserve">Genotoxische Mykotoxine; langfristige Exposition kann Leberkrebs verursachen. Das Risiko steigt besonders zusammen mit chronischer Hepatitis-B-Infektion.</w:t>
            </w:r>
          </w:p>
        </w:tc>
        <w:tc>
          <w:tcPr>
            <w:tcW w:w="2500" w:type="dxa"/>
            <w:shd w:val="clear" w:color="auto" w:fill="FFFFFF"/>
            <w:vAlign w:val="top"/>
            <w:tcMar>
              <w:top w:w="90" w:type="dxa"/>
              <w:left w:w="90" w:type="dxa"/>
              <w:bottom w:w="90" w:type="dxa"/>
              <w:right w:w="90" w:type="dxa"/>
            </w:tcMar>
          </w:tcPr>
          <w:p>
            <w:pPr>
              <w:spacing w:after="60"/>
            </w:pPr>
            <w:r>
              <w:rPr>
                <w:color w:val="1F2937"/>
                <w:sz w:val="17"/>
                <w:szCs w:val="17"/>
              </w:rPr>
              <w:t xml:space="preserve">HOCH – natürlich vorkommende Aflatoxin-Gemische sind krebserregend; Aflatoxin B1 ist besonders potent.</w:t>
            </w:r>
          </w:p>
        </w:tc>
        <w:tc>
          <w:tcPr>
            <w:tcW w:w="3700" w:type="dxa"/>
            <w:shd w:val="clear" w:color="auto" w:fill="FFFFFF"/>
            <w:vAlign w:val="top"/>
            <w:tcMar>
              <w:top w:w="90" w:type="dxa"/>
              <w:left w:w="90" w:type="dxa"/>
              <w:bottom w:w="90" w:type="dxa"/>
              <w:right w:w="90" w:type="dxa"/>
            </w:tcMar>
          </w:tcPr>
          <w:p>
            <w:pPr>
              <w:spacing w:after="60"/>
            </w:pPr>
            <w:r>
              <w:rPr>
                <w:color w:val="1F2937"/>
                <w:sz w:val="17"/>
                <w:szCs w:val="17"/>
              </w:rPr>
              <w:t xml:space="preserve">Trocken und kühl lagern; sichtbar verschimmelte oder auffällige Ware entsorgen. Mykotoxine können unsichtbar sein und Verarbeitung überstehen – Kontrolle und Höchstgehalte bleiben zentral.</w:t>
            </w:r>
          </w:p>
        </w:tc>
      </w:tr>
      <w:tr>
        <w:trPr>
          <w:cantSplit/>
        </w:trPr>
        <w:tc>
          <w:tcPr>
            <w:tcW w:w="2300" w:type="dxa"/>
            <w:shd w:val="clear" w:color="auto" w:fill="F8FAFC"/>
            <w:vAlign w:val="top"/>
            <w:tcMar>
              <w:top w:w="90" w:type="dxa"/>
              <w:left w:w="90" w:type="dxa"/>
              <w:bottom w:w="90" w:type="dxa"/>
              <w:right w:w="90" w:type="dxa"/>
            </w:tcMar>
          </w:tcPr>
          <w:p>
            <w:pPr>
              <w:spacing w:after="60"/>
            </w:pPr>
            <w:r>
              <w:rPr>
                <w:b/>
                <w:color w:val="1F2937"/>
                <w:sz w:val="17"/>
                <w:szCs w:val="17"/>
              </w:rPr>
              <w:t xml:space="preserve">Anorganisches Arsen</w:t>
            </w:r>
          </w:p>
        </w:tc>
        <w:tc>
          <w:tcPr>
            <w:tcW w:w="2800" w:type="dxa"/>
            <w:shd w:val="clear" w:color="auto" w:fill="F8FAFC"/>
            <w:vAlign w:val="top"/>
            <w:tcMar>
              <w:top w:w="90" w:type="dxa"/>
              <w:left w:w="90" w:type="dxa"/>
              <w:bottom w:w="90" w:type="dxa"/>
              <w:right w:w="90" w:type="dxa"/>
            </w:tcMar>
          </w:tcPr>
          <w:p>
            <w:pPr>
              <w:spacing w:after="60"/>
            </w:pPr>
            <w:r>
              <w:rPr>
                <w:color w:val="1F2937"/>
                <w:sz w:val="17"/>
                <w:szCs w:val="17"/>
              </w:rPr>
              <w:t xml:space="preserve">Vor allem belastetes Trink- oder Bewässerungswasser; dadurch auch Reis und andere Kulturpflanzen</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Langfristig erhöhte Exposition kann Haut-, Blasen- und Lungenkrebs verursachen. Der Gehalt hängt stark von Herkunft, Wasser und Verarbeitung ab.</w:t>
            </w:r>
          </w:p>
        </w:tc>
        <w:tc>
          <w:tcPr>
            <w:tcW w:w="2500" w:type="dxa"/>
            <w:shd w:val="clear" w:color="auto" w:fill="F8FAFC"/>
            <w:vAlign w:val="top"/>
            <w:tcMar>
              <w:top w:w="90" w:type="dxa"/>
              <w:left w:w="90" w:type="dxa"/>
              <w:bottom w:w="90" w:type="dxa"/>
              <w:right w:w="90" w:type="dxa"/>
            </w:tcMar>
          </w:tcPr>
          <w:p>
            <w:pPr>
              <w:spacing w:after="60"/>
            </w:pPr>
            <w:r>
              <w:rPr>
                <w:color w:val="1F2937"/>
                <w:sz w:val="17"/>
                <w:szCs w:val="17"/>
              </w:rPr>
              <w:t xml:space="preserve">HOCH für anorganisches Arsen; tatsächliche Exposition ist regional und produktspezifisch.</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Lebensmittel abwechslungsreich wählen; in Risikogebieten sicheres Wasser verwenden und behördliche Hinweise beachten. Organisches Arsen in Meeresfrüchten ist meist weniger toxisch.</w:t>
            </w:r>
          </w:p>
        </w:tc>
      </w:tr>
      <w:tr>
        <w:trPr>
          <w:cantSplit/>
        </w:trPr>
        <w:tc>
          <w:tcPr>
            <w:tcW w:w="2300" w:type="dxa"/>
            <w:shd w:val="clear" w:color="auto" w:fill="FFFFFF"/>
            <w:vAlign w:val="top"/>
            <w:tcMar>
              <w:top w:w="90" w:type="dxa"/>
              <w:left w:w="90" w:type="dxa"/>
              <w:bottom w:w="90" w:type="dxa"/>
              <w:right w:w="90" w:type="dxa"/>
            </w:tcMar>
          </w:tcPr>
          <w:p>
            <w:pPr>
              <w:spacing w:after="60"/>
            </w:pPr>
            <w:r>
              <w:rPr>
                <w:b/>
                <w:color w:val="1F2937"/>
                <w:sz w:val="17"/>
                <w:szCs w:val="17"/>
              </w:rPr>
              <w:t xml:space="preserve">Aristolochiasäuren</w:t>
            </w:r>
          </w:p>
        </w:tc>
        <w:tc>
          <w:tcPr>
            <w:tcW w:w="2800" w:type="dxa"/>
            <w:shd w:val="clear" w:color="auto" w:fill="FFFFFF"/>
            <w:vAlign w:val="top"/>
            <w:tcMar>
              <w:top w:w="90" w:type="dxa"/>
              <w:left w:w="90" w:type="dxa"/>
              <w:bottom w:w="90" w:type="dxa"/>
              <w:right w:w="90" w:type="dxa"/>
            </w:tcMar>
          </w:tcPr>
          <w:p>
            <w:pPr>
              <w:spacing w:after="60"/>
            </w:pPr>
            <w:r>
              <w:rPr>
                <w:color w:val="1F2937"/>
                <w:sz w:val="17"/>
                <w:szCs w:val="17"/>
              </w:rPr>
              <w:t xml:space="preserve">Bestimmte unregulierte traditionelle Kräuterpräparate mit Aristolochia-Arten; selten auch Verunreinigung von Getreide</w:t>
            </w:r>
          </w:p>
        </w:tc>
        <w:tc>
          <w:tcPr>
            <w:tcW w:w="3700" w:type="dxa"/>
            <w:shd w:val="clear" w:color="auto" w:fill="FFFFFF"/>
            <w:vAlign w:val="top"/>
            <w:tcMar>
              <w:top w:w="90" w:type="dxa"/>
              <w:left w:w="90" w:type="dxa"/>
              <w:bottom w:w="90" w:type="dxa"/>
              <w:right w:w="90" w:type="dxa"/>
            </w:tcMar>
          </w:tcPr>
          <w:p>
            <w:pPr>
              <w:spacing w:after="60"/>
            </w:pPr>
            <w:r>
              <w:rPr>
                <w:color w:val="1F2937"/>
                <w:sz w:val="17"/>
                <w:szCs w:val="17"/>
              </w:rPr>
              <w:t xml:space="preserve">Stark nierenschädigend, mutagen und mit Harntrakt- sowie weiteren Krebsarten verbunden.</w:t>
            </w:r>
          </w:p>
        </w:tc>
        <w:tc>
          <w:tcPr>
            <w:tcW w:w="2500" w:type="dxa"/>
            <w:shd w:val="clear" w:color="auto" w:fill="FFFFFF"/>
            <w:vAlign w:val="top"/>
            <w:tcMar>
              <w:top w:w="90" w:type="dxa"/>
              <w:left w:w="90" w:type="dxa"/>
              <w:bottom w:w="90" w:type="dxa"/>
              <w:right w:w="90" w:type="dxa"/>
            </w:tcMar>
          </w:tcPr>
          <w:p>
            <w:pPr>
              <w:spacing w:after="60"/>
            </w:pPr>
            <w:r>
              <w:rPr>
                <w:color w:val="1F2937"/>
                <w:sz w:val="17"/>
                <w:szCs w:val="17"/>
              </w:rPr>
              <w:t xml:space="preserve">HOCH – Aristolochiasäure und Aristolochia-haltige Pflanzen sind IARC Gruppe 1.</w:t>
            </w:r>
          </w:p>
        </w:tc>
        <w:tc>
          <w:tcPr>
            <w:tcW w:w="3700" w:type="dxa"/>
            <w:shd w:val="clear" w:color="auto" w:fill="FFFFFF"/>
            <w:vAlign w:val="top"/>
            <w:tcMar>
              <w:top w:w="90" w:type="dxa"/>
              <w:left w:w="90" w:type="dxa"/>
              <w:bottom w:w="90" w:type="dxa"/>
              <w:right w:w="90" w:type="dxa"/>
            </w:tcMar>
          </w:tcPr>
          <w:p>
            <w:pPr>
              <w:spacing w:after="60"/>
            </w:pPr>
            <w:r>
              <w:rPr>
                <w:color w:val="1F2937"/>
                <w:sz w:val="17"/>
                <w:szCs w:val="17"/>
              </w:rPr>
              <w:t xml:space="preserve">Unklare oder unregulierte Kräuterpräparate meiden; „natürlich“ ist kein Sicherheitsnachweis.</w:t>
            </w:r>
          </w:p>
        </w:tc>
      </w:tr>
      <w:tr>
        <w:trPr>
          <w:cantSplit/>
        </w:trPr>
        <w:tc>
          <w:tcPr>
            <w:tcW w:w="2300" w:type="dxa"/>
            <w:shd w:val="clear" w:color="auto" w:fill="F8FAFC"/>
            <w:vAlign w:val="top"/>
            <w:tcMar>
              <w:top w:w="90" w:type="dxa"/>
              <w:left w:w="90" w:type="dxa"/>
              <w:bottom w:w="90" w:type="dxa"/>
              <w:right w:w="90" w:type="dxa"/>
            </w:tcMar>
          </w:tcPr>
          <w:p>
            <w:pPr>
              <w:spacing w:after="60"/>
            </w:pPr>
            <w:r>
              <w:rPr>
                <w:b/>
                <w:color w:val="1F2937"/>
                <w:sz w:val="17"/>
                <w:szCs w:val="17"/>
              </w:rPr>
              <w:t xml:space="preserve">PAK aus Räuchern oder Verkohlen</w:t>
            </w:r>
          </w:p>
        </w:tc>
        <w:tc>
          <w:tcPr>
            <w:tcW w:w="2800" w:type="dxa"/>
            <w:shd w:val="clear" w:color="auto" w:fill="F8FAFC"/>
            <w:vAlign w:val="top"/>
            <w:tcMar>
              <w:top w:w="90" w:type="dxa"/>
              <w:left w:w="90" w:type="dxa"/>
              <w:bottom w:w="90" w:type="dxa"/>
              <w:right w:w="90" w:type="dxa"/>
            </w:tcMar>
          </w:tcPr>
          <w:p>
            <w:pPr>
              <w:spacing w:after="60"/>
            </w:pPr>
            <w:r>
              <w:rPr>
                <w:color w:val="1F2937"/>
                <w:sz w:val="17"/>
                <w:szCs w:val="17"/>
              </w:rPr>
              <w:t xml:space="preserve">Stark geröstete, verkohlte oder geräucherte pflanzliche Lebensmittel</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Dieselben Prozesskontaminanten wie bei geräuchertem oder direkt gegrilltem Fleisch können auch auf pflanzlichen Lebensmitteln entstehen.</w:t>
            </w:r>
          </w:p>
        </w:tc>
        <w:tc>
          <w:tcPr>
            <w:tcW w:w="2500" w:type="dxa"/>
            <w:shd w:val="clear" w:color="auto" w:fill="F8FAFC"/>
            <w:vAlign w:val="top"/>
            <w:tcMar>
              <w:top w:w="90" w:type="dxa"/>
              <w:left w:w="90" w:type="dxa"/>
              <w:bottom w:w="90" w:type="dxa"/>
              <w:right w:w="90" w:type="dxa"/>
            </w:tcMar>
          </w:tcPr>
          <w:p>
            <w:pPr>
              <w:spacing w:after="60"/>
            </w:pPr>
            <w:r>
              <w:rPr>
                <w:color w:val="1F2937"/>
                <w:sz w:val="17"/>
                <w:szCs w:val="17"/>
              </w:rPr>
              <w:t xml:space="preserve">STOFFABHÄNGIG; einige PAK sind Humankarzinogene.</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Dunkelbraun statt schwarz garen, Verkohlung und starke Rauchentwicklung vermeiden.</w:t>
            </w:r>
          </w:p>
        </w:tc>
      </w:tr>
      <w:tr>
        <w:trPr>
          <w:cantSplit/>
        </w:trPr>
        <w:tc>
          <w:tcPr>
            <w:tcW w:w="2300" w:type="dxa"/>
            <w:shd w:val="clear" w:color="auto" w:fill="FFFFFF"/>
            <w:vAlign w:val="top"/>
            <w:tcMar>
              <w:top w:w="90" w:type="dxa"/>
              <w:left w:w="90" w:type="dxa"/>
              <w:bottom w:w="90" w:type="dxa"/>
              <w:right w:w="90" w:type="dxa"/>
            </w:tcMar>
          </w:tcPr>
          <w:p>
            <w:pPr>
              <w:spacing w:after="60"/>
            </w:pPr>
            <w:r>
              <w:rPr>
                <w:b/>
                <w:color w:val="1F2937"/>
                <w:sz w:val="17"/>
                <w:szCs w:val="17"/>
              </w:rPr>
              <w:t xml:space="preserve">Sehr heiße Getränke</w:t>
            </w:r>
          </w:p>
        </w:tc>
        <w:tc>
          <w:tcPr>
            <w:tcW w:w="2800" w:type="dxa"/>
            <w:shd w:val="clear" w:color="auto" w:fill="FFFFFF"/>
            <w:vAlign w:val="top"/>
            <w:tcMar>
              <w:top w:w="90" w:type="dxa"/>
              <w:left w:w="90" w:type="dxa"/>
              <w:bottom w:w="90" w:type="dxa"/>
              <w:right w:w="90" w:type="dxa"/>
            </w:tcMar>
          </w:tcPr>
          <w:p>
            <w:pPr>
              <w:spacing w:after="60"/>
            </w:pPr>
            <w:r>
              <w:rPr>
                <w:color w:val="1F2937"/>
                <w:sz w:val="17"/>
                <w:szCs w:val="17"/>
              </w:rPr>
              <w:t xml:space="preserve">Getränke über etwa 65 °C; besonders untersucht bei traditionell sehr heiß getrunkenem Maté</w:t>
            </w:r>
          </w:p>
        </w:tc>
        <w:tc>
          <w:tcPr>
            <w:tcW w:w="3700" w:type="dxa"/>
            <w:shd w:val="clear" w:color="auto" w:fill="FFFFFF"/>
            <w:vAlign w:val="top"/>
            <w:tcMar>
              <w:top w:w="90" w:type="dxa"/>
              <w:left w:w="90" w:type="dxa"/>
              <w:bottom w:w="90" w:type="dxa"/>
              <w:right w:w="90" w:type="dxa"/>
            </w:tcMar>
          </w:tcPr>
          <w:p>
            <w:pPr>
              <w:spacing w:after="60"/>
            </w:pPr>
            <w:r>
              <w:rPr>
                <w:color w:val="1F2937"/>
                <w:sz w:val="17"/>
                <w:szCs w:val="17"/>
              </w:rPr>
              <w:t xml:space="preserve">Das Risiko wird der wiederholten thermischen Schädigung zugeschrieben, nicht einem typischen Pflanzeninhaltsstoff.</w:t>
            </w:r>
          </w:p>
        </w:tc>
        <w:tc>
          <w:tcPr>
            <w:tcW w:w="2500" w:type="dxa"/>
            <w:shd w:val="clear" w:color="auto" w:fill="FFFFFF"/>
            <w:vAlign w:val="top"/>
            <w:tcMar>
              <w:top w:w="90" w:type="dxa"/>
              <w:left w:w="90" w:type="dxa"/>
              <w:bottom w:w="90" w:type="dxa"/>
              <w:right w:w="90" w:type="dxa"/>
            </w:tcMar>
          </w:tcPr>
          <w:p>
            <w:pPr>
              <w:spacing w:after="60"/>
            </w:pPr>
            <w:r>
              <w:rPr>
                <w:color w:val="1F2937"/>
                <w:sz w:val="17"/>
                <w:szCs w:val="17"/>
              </w:rPr>
              <w:t xml:space="preserve">IARC Gruppe 2A für sehr heiße Getränke; orts- und gewohnheitsabhängige Exposition.</w:t>
            </w:r>
          </w:p>
        </w:tc>
        <w:tc>
          <w:tcPr>
            <w:tcW w:w="3700" w:type="dxa"/>
            <w:shd w:val="clear" w:color="auto" w:fill="FFFFFF"/>
            <w:vAlign w:val="top"/>
            <w:tcMar>
              <w:top w:w="90" w:type="dxa"/>
              <w:left w:w="90" w:type="dxa"/>
              <w:bottom w:w="90" w:type="dxa"/>
              <w:right w:w="90" w:type="dxa"/>
            </w:tcMar>
          </w:tcPr>
          <w:p>
            <w:pPr>
              <w:spacing w:after="60"/>
            </w:pPr>
            <w:r>
              <w:rPr>
                <w:color w:val="1F2937"/>
                <w:sz w:val="17"/>
                <w:szCs w:val="17"/>
              </w:rPr>
              <w:t xml:space="preserve">Vor dem Trinken abkühlen lassen. Die Temperatur ist hier entscheidender als die Pflanzenart.</w:t>
            </w:r>
          </w:p>
        </w:tc>
      </w:tr>
    </w:tbl>
    <w:p>
      <w:pPr>
        <w:pStyle w:val="Heading1"/>
      </w:pPr>
      <w:r>
        <w:t xml:space="preserve">3. Potenziell schützende Faktoren in Tierprodukten</w:t>
      </w:r>
    </w:p>
    <w:p>
      <w:pPr>
        <w:pStyle w:val="SectionIntro"/>
      </w:pPr>
      <w:r>
        <w:t xml:space="preserve">Hier ist die belastbare Evidenz deutlich schmaler. Der stärkste Befund betrifft Milchprodukte beziehungsweise Calcium und ausschließlich das Darmkrebsrisiko.</w:t>
      </w:r>
    </w:p>
    <w:tbl>
      <w:tblPr>
        <w:tblW w:w="0" w:type="auto"/>
        <w:tblLayout w:type="fixed"/>
        <w:tblBorders>
          <w:top w:val="single" w:sz="4" w:color="CBD5E1"/>
          <w:left w:val="single" w:sz="4" w:color="CBD5E1"/>
          <w:bottom w:val="single" w:sz="4" w:color="CBD5E1"/>
          <w:right w:val="single" w:sz="4" w:color="CBD5E1"/>
          <w:insideH w:val="single" w:sz="4" w:color="E2E8F0"/>
          <w:insideV w:val="single" w:sz="4" w:color="E2E8F0"/>
        </w:tblBorders>
        <w:tblCellMar>
          <w:top w:w="80" w:type="dxa"/>
          <w:left w:w="80" w:type="dxa"/>
          <w:bottom w:w="80" w:type="dxa"/>
          <w:right w:w="80" w:type="dxa"/>
        </w:tblCellMar>
      </w:tblPr>
      <w:tblGrid>
        <w:gridCol w:w="2300"/>
        <w:gridCol w:w="2800"/>
        <w:gridCol w:w="3700"/>
        <w:gridCol w:w="2500"/>
        <w:gridCol w:w="3700"/>
      </w:tblGrid>
      <w:tr>
        <w:trPr>
          <w:tblHeader/>
          <w:cantSplit/>
        </w:trPr>
        <w:tc>
          <w:tcPr>
            <w:tcW w:w="2300" w:type="dxa"/>
            <w:shd w:val="clear" w:color="auto" w:fill="0F766E"/>
            <w:vAlign w:val="top"/>
            <w:tcMar>
              <w:top w:w="90" w:type="dxa"/>
              <w:left w:w="90" w:type="dxa"/>
              <w:bottom w:w="90" w:type="dxa"/>
              <w:right w:w="90" w:type="dxa"/>
            </w:tcMar>
          </w:tcPr>
          <w:p>
            <w:pPr>
              <w:spacing w:after="60"/>
            </w:pPr>
            <w:r>
              <w:rPr>
                <w:b/>
                <w:color w:val="FFFFFF"/>
                <w:sz w:val="17"/>
                <w:szCs w:val="17"/>
              </w:rPr>
              <w:t xml:space="preserve">Stoff / Exposition</w:t>
            </w:r>
          </w:p>
        </w:tc>
        <w:tc>
          <w:tcPr>
            <w:tcW w:w="2800" w:type="dxa"/>
            <w:shd w:val="clear" w:color="auto" w:fill="0F766E"/>
            <w:vAlign w:val="top"/>
            <w:tcMar>
              <w:top w:w="90" w:type="dxa"/>
              <w:left w:w="90" w:type="dxa"/>
              <w:bottom w:w="90" w:type="dxa"/>
              <w:right w:w="90" w:type="dxa"/>
            </w:tcMar>
          </w:tcPr>
          <w:p>
            <w:pPr>
              <w:spacing w:after="60"/>
            </w:pPr>
            <w:r>
              <w:rPr>
                <w:b/>
                <w:color w:val="FFFFFF"/>
                <w:sz w:val="17"/>
                <w:szCs w:val="17"/>
              </w:rPr>
              <w:t xml:space="preserve">Typische Quellen</w:t>
            </w:r>
          </w:p>
        </w:tc>
        <w:tc>
          <w:tcPr>
            <w:tcW w:w="3700" w:type="dxa"/>
            <w:shd w:val="clear" w:color="auto" w:fill="0F766E"/>
            <w:vAlign w:val="top"/>
            <w:tcMar>
              <w:top w:w="90" w:type="dxa"/>
              <w:left w:w="90" w:type="dxa"/>
              <w:bottom w:w="90" w:type="dxa"/>
              <w:right w:w="90" w:type="dxa"/>
            </w:tcMar>
          </w:tcPr>
          <w:p>
            <w:pPr>
              <w:spacing w:after="60"/>
            </w:pPr>
            <w:r>
              <w:rPr>
                <w:b/>
                <w:color w:val="FFFFFF"/>
                <w:sz w:val="17"/>
                <w:szCs w:val="17"/>
              </w:rPr>
              <w:t xml:space="preserve">Warum relevant?</w:t>
            </w:r>
          </w:p>
        </w:tc>
        <w:tc>
          <w:tcPr>
            <w:tcW w:w="2500" w:type="dxa"/>
            <w:shd w:val="clear" w:color="auto" w:fill="0F766E"/>
            <w:vAlign w:val="top"/>
            <w:tcMar>
              <w:top w:w="90" w:type="dxa"/>
              <w:left w:w="90" w:type="dxa"/>
              <w:bottom w:w="90" w:type="dxa"/>
              <w:right w:w="90" w:type="dxa"/>
            </w:tcMar>
          </w:tcPr>
          <w:p>
            <w:pPr>
              <w:spacing w:after="60"/>
            </w:pPr>
            <w:r>
              <w:rPr>
                <w:b/>
                <w:color w:val="FFFFFF"/>
                <w:sz w:val="17"/>
                <w:szCs w:val="17"/>
              </w:rPr>
              <w:t xml:space="preserve">Evidenz</w:t>
            </w:r>
          </w:p>
        </w:tc>
        <w:tc>
          <w:tcPr>
            <w:tcW w:w="3700" w:type="dxa"/>
            <w:shd w:val="clear" w:color="auto" w:fill="0F766E"/>
            <w:vAlign w:val="top"/>
            <w:tcMar>
              <w:top w:w="90" w:type="dxa"/>
              <w:left w:w="90" w:type="dxa"/>
              <w:bottom w:w="90" w:type="dxa"/>
              <w:right w:w="90" w:type="dxa"/>
            </w:tcMar>
          </w:tcPr>
          <w:p>
            <w:pPr>
              <w:spacing w:after="60"/>
            </w:pPr>
            <w:r>
              <w:rPr>
                <w:b/>
                <w:color w:val="FFFFFF"/>
                <w:sz w:val="17"/>
                <w:szCs w:val="17"/>
              </w:rPr>
              <w:t xml:space="preserve">Praktische Einordnung</w:t>
            </w:r>
          </w:p>
        </w:tc>
      </w:tr>
      <w:tr>
        <w:trPr>
          <w:cantSplit/>
        </w:trPr>
        <w:tc>
          <w:tcPr>
            <w:tcW w:w="2300" w:type="dxa"/>
            <w:shd w:val="clear" w:color="auto" w:fill="F8FAFC"/>
            <w:vAlign w:val="top"/>
            <w:tcMar>
              <w:top w:w="90" w:type="dxa"/>
              <w:left w:w="90" w:type="dxa"/>
              <w:bottom w:w="90" w:type="dxa"/>
              <w:right w:w="90" w:type="dxa"/>
            </w:tcMar>
          </w:tcPr>
          <w:p>
            <w:pPr>
              <w:spacing w:after="60"/>
            </w:pPr>
            <w:r>
              <w:rPr>
                <w:b/>
                <w:color w:val="1F2937"/>
                <w:sz w:val="17"/>
                <w:szCs w:val="17"/>
              </w:rPr>
              <w:t xml:space="preserve">Calcium aus Milchprodukten</w:t>
            </w:r>
          </w:p>
        </w:tc>
        <w:tc>
          <w:tcPr>
            <w:tcW w:w="2800" w:type="dxa"/>
            <w:shd w:val="clear" w:color="auto" w:fill="F8FAFC"/>
            <w:vAlign w:val="top"/>
            <w:tcMar>
              <w:top w:w="90" w:type="dxa"/>
              <w:left w:w="90" w:type="dxa"/>
              <w:bottom w:w="90" w:type="dxa"/>
              <w:right w:w="90" w:type="dxa"/>
            </w:tcMar>
          </w:tcPr>
          <w:p>
            <w:pPr>
              <w:spacing w:after="60"/>
            </w:pPr>
            <w:r>
              <w:rPr>
                <w:color w:val="1F2937"/>
                <w:sz w:val="17"/>
                <w:szCs w:val="17"/>
              </w:rPr>
              <w:t xml:space="preserve">Milch, Joghurt, Käse</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Calcium kann Gallensäuren und freie Fettsäuren im Darm binden und die Schleimhaut beeinflussen. Höhere Zufuhr ist mit geringerem Darmkrebsrisiko verbunden.</w:t>
            </w:r>
          </w:p>
        </w:tc>
        <w:tc>
          <w:tcPr>
            <w:tcW w:w="2500" w:type="dxa"/>
            <w:shd w:val="clear" w:color="auto" w:fill="F8FAFC"/>
            <w:vAlign w:val="top"/>
            <w:tcMar>
              <w:top w:w="90" w:type="dxa"/>
              <w:left w:w="90" w:type="dxa"/>
              <w:bottom w:w="90" w:type="dxa"/>
              <w:right w:w="90" w:type="dxa"/>
            </w:tcMar>
          </w:tcPr>
          <w:p>
            <w:pPr>
              <w:spacing w:after="60"/>
            </w:pPr>
            <w:r>
              <w:rPr>
                <w:color w:val="1F2937"/>
                <w:sz w:val="17"/>
                <w:szCs w:val="17"/>
              </w:rPr>
              <w:t xml:space="preserve">RELATIV HOCH – WCRF bewertet die Risikosenkung für Darmkrebs als starke Evidenz.</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Kein Krebsmedikament und keine Empfehlung zu sehr hoher Zufuhr. Individuelle Verträglichkeit, Gesamtzufuhr und mögliche gegenläufige Hinweise bei Prostatakrebs berücksichtigen.</w:t>
            </w:r>
          </w:p>
        </w:tc>
      </w:tr>
      <w:tr>
        <w:trPr>
          <w:cantSplit/>
        </w:trPr>
        <w:tc>
          <w:tcPr>
            <w:tcW w:w="2300" w:type="dxa"/>
            <w:shd w:val="clear" w:color="auto" w:fill="FFFFFF"/>
            <w:vAlign w:val="top"/>
            <w:tcMar>
              <w:top w:w="90" w:type="dxa"/>
              <w:left w:w="90" w:type="dxa"/>
              <w:bottom w:w="90" w:type="dxa"/>
              <w:right w:w="90" w:type="dxa"/>
            </w:tcMar>
          </w:tcPr>
          <w:p>
            <w:pPr>
              <w:spacing w:after="60"/>
            </w:pPr>
            <w:r>
              <w:rPr>
                <w:b/>
                <w:color w:val="1F2937"/>
                <w:sz w:val="17"/>
                <w:szCs w:val="17"/>
              </w:rPr>
              <w:t xml:space="preserve">Milchprodukte als Gesamtlebensmittel</w:t>
            </w:r>
          </w:p>
        </w:tc>
        <w:tc>
          <w:tcPr>
            <w:tcW w:w="2800" w:type="dxa"/>
            <w:shd w:val="clear" w:color="auto" w:fill="FFFFFF"/>
            <w:vAlign w:val="top"/>
            <w:tcMar>
              <w:top w:w="90" w:type="dxa"/>
              <w:left w:w="90" w:type="dxa"/>
              <w:bottom w:w="90" w:type="dxa"/>
              <w:right w:w="90" w:type="dxa"/>
            </w:tcMar>
          </w:tcPr>
          <w:p>
            <w:pPr>
              <w:spacing w:after="60"/>
            </w:pPr>
            <w:r>
              <w:rPr>
                <w:color w:val="1F2937"/>
                <w:sz w:val="17"/>
                <w:szCs w:val="17"/>
              </w:rPr>
              <w:t xml:space="preserve">Milch, Joghurt, Käse; Zusammenspiel von Calcium, Fermentation und weiteren Bestandteilen</w:t>
            </w:r>
          </w:p>
        </w:tc>
        <w:tc>
          <w:tcPr>
            <w:tcW w:w="3700" w:type="dxa"/>
            <w:shd w:val="clear" w:color="auto" w:fill="FFFFFF"/>
            <w:vAlign w:val="top"/>
            <w:tcMar>
              <w:top w:w="90" w:type="dxa"/>
              <w:left w:w="90" w:type="dxa"/>
              <w:bottom w:w="90" w:type="dxa"/>
              <w:right w:w="90" w:type="dxa"/>
            </w:tcMar>
          </w:tcPr>
          <w:p>
            <w:pPr>
              <w:spacing w:after="60"/>
            </w:pPr>
            <w:r>
              <w:rPr>
                <w:color w:val="1F2937"/>
                <w:sz w:val="17"/>
                <w:szCs w:val="17"/>
              </w:rPr>
              <w:t xml:space="preserve">Dairy-Verzehr ist mit geringerem Darmkrebsrisiko verbunden. Welcher Bestandteil den Effekt trägt, ist nicht vollständig geklärt.</w:t>
            </w:r>
          </w:p>
        </w:tc>
        <w:tc>
          <w:tcPr>
            <w:tcW w:w="2500" w:type="dxa"/>
            <w:shd w:val="clear" w:color="auto" w:fill="FFFFFF"/>
            <w:vAlign w:val="top"/>
            <w:tcMar>
              <w:top w:w="90" w:type="dxa"/>
              <w:left w:w="90" w:type="dxa"/>
              <w:bottom w:w="90" w:type="dxa"/>
              <w:right w:w="90" w:type="dxa"/>
            </w:tcMar>
          </w:tcPr>
          <w:p>
            <w:pPr>
              <w:spacing w:after="60"/>
            </w:pPr>
            <w:r>
              <w:rPr>
                <w:color w:val="1F2937"/>
                <w:sz w:val="17"/>
                <w:szCs w:val="17"/>
              </w:rPr>
              <w:t xml:space="preserve">RELATIV HOCH für Darmkrebs; begrenzte Hinweise auf erhöhtes Prostatakrebsrisiko verhindern eine pauschale Präventionsempfehlung.</w:t>
            </w:r>
          </w:p>
        </w:tc>
        <w:tc>
          <w:tcPr>
            <w:tcW w:w="3700" w:type="dxa"/>
            <w:shd w:val="clear" w:color="auto" w:fill="FFFFFF"/>
            <w:vAlign w:val="top"/>
            <w:tcMar>
              <w:top w:w="90" w:type="dxa"/>
              <w:left w:w="90" w:type="dxa"/>
              <w:bottom w:w="90" w:type="dxa"/>
              <w:right w:w="90" w:type="dxa"/>
            </w:tcMar>
          </w:tcPr>
          <w:p>
            <w:pPr>
              <w:spacing w:after="60"/>
            </w:pPr>
            <w:r>
              <w:rPr>
                <w:color w:val="1F2937"/>
                <w:sz w:val="17"/>
                <w:szCs w:val="17"/>
              </w:rPr>
              <w:t xml:space="preserve">Neutral formulieren: möglicher organspezifischer Schutz, keine allgemeine „Anti-Krebs-Wirkung“.</w:t>
            </w:r>
          </w:p>
        </w:tc>
      </w:tr>
      <w:tr>
        <w:trPr>
          <w:cantSplit/>
        </w:trPr>
        <w:tc>
          <w:tcPr>
            <w:tcW w:w="2300" w:type="dxa"/>
            <w:shd w:val="clear" w:color="auto" w:fill="F8FAFC"/>
            <w:vAlign w:val="top"/>
            <w:tcMar>
              <w:top w:w="90" w:type="dxa"/>
              <w:left w:w="90" w:type="dxa"/>
              <w:bottom w:w="90" w:type="dxa"/>
              <w:right w:w="90" w:type="dxa"/>
            </w:tcMar>
          </w:tcPr>
          <w:p>
            <w:pPr>
              <w:spacing w:after="60"/>
            </w:pPr>
            <w:r>
              <w:rPr>
                <w:b/>
                <w:color w:val="1F2937"/>
                <w:sz w:val="17"/>
                <w:szCs w:val="17"/>
              </w:rPr>
              <w:t xml:space="preserve">Milchsäurebakterien, Lactoferrin und weitere Milchbestandteile</w:t>
            </w:r>
          </w:p>
        </w:tc>
        <w:tc>
          <w:tcPr>
            <w:tcW w:w="2800" w:type="dxa"/>
            <w:shd w:val="clear" w:color="auto" w:fill="F8FAFC"/>
            <w:vAlign w:val="top"/>
            <w:tcMar>
              <w:top w:w="90" w:type="dxa"/>
              <w:left w:w="90" w:type="dxa"/>
              <w:bottom w:w="90" w:type="dxa"/>
              <w:right w:w="90" w:type="dxa"/>
            </w:tcMar>
          </w:tcPr>
          <w:p>
            <w:pPr>
              <w:spacing w:after="60"/>
            </w:pPr>
            <w:r>
              <w:rPr>
                <w:color w:val="1F2937"/>
                <w:sz w:val="17"/>
                <w:szCs w:val="17"/>
              </w:rPr>
              <w:t xml:space="preserve">Fermentierte Milchprodukte und Milch</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Werden als mögliche zusätzliche Mechanismen diskutiert. Für isolierte Stoffe fehlt ein belastbarer Nachweis, dass sie beim Menschen Krebs verhindern.</w:t>
            </w:r>
          </w:p>
        </w:tc>
        <w:tc>
          <w:tcPr>
            <w:tcW w:w="2500" w:type="dxa"/>
            <w:shd w:val="clear" w:color="auto" w:fill="F8FAFC"/>
            <w:vAlign w:val="top"/>
            <w:tcMar>
              <w:top w:w="90" w:type="dxa"/>
              <w:left w:w="90" w:type="dxa"/>
              <w:bottom w:w="90" w:type="dxa"/>
              <w:right w:w="90" w:type="dxa"/>
            </w:tcMar>
          </w:tcPr>
          <w:p>
            <w:pPr>
              <w:spacing w:after="60"/>
            </w:pPr>
            <w:r>
              <w:rPr>
                <w:color w:val="1F2937"/>
                <w:sz w:val="17"/>
                <w:szCs w:val="17"/>
              </w:rPr>
              <w:t xml:space="preserve">NIEDRIG bis MITTEL – mechanistisch plausibel, klinisch nicht als eigenständige Prävention belegt.</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Nicht mit probiotischen oder isolierten Präparaten gleichsetzen; keine Heil- oder Schutzversprechen.</w:t>
            </w:r>
          </w:p>
        </w:tc>
      </w:tr>
      <w:tr>
        <w:trPr>
          <w:cantSplit/>
        </w:trPr>
        <w:tc>
          <w:tcPr>
            <w:tcW w:w="2300" w:type="dxa"/>
            <w:shd w:val="clear" w:color="auto" w:fill="FFFFFF"/>
            <w:vAlign w:val="top"/>
            <w:tcMar>
              <w:top w:w="90" w:type="dxa"/>
              <w:left w:w="90" w:type="dxa"/>
              <w:bottom w:w="90" w:type="dxa"/>
              <w:right w:w="90" w:type="dxa"/>
            </w:tcMar>
          </w:tcPr>
          <w:p>
            <w:pPr>
              <w:spacing w:after="60"/>
            </w:pPr>
            <w:r>
              <w:rPr>
                <w:b/>
                <w:color w:val="1F2937"/>
                <w:sz w:val="17"/>
                <w:szCs w:val="17"/>
              </w:rPr>
              <w:t xml:space="preserve">Omega-3-Fettsäuren EPA/DHA</w:t>
            </w:r>
          </w:p>
        </w:tc>
        <w:tc>
          <w:tcPr>
            <w:tcW w:w="2800" w:type="dxa"/>
            <w:shd w:val="clear" w:color="auto" w:fill="FFFFFF"/>
            <w:vAlign w:val="top"/>
            <w:tcMar>
              <w:top w:w="90" w:type="dxa"/>
              <w:left w:w="90" w:type="dxa"/>
              <w:bottom w:w="90" w:type="dxa"/>
              <w:right w:w="90" w:type="dxa"/>
            </w:tcMar>
          </w:tcPr>
          <w:p>
            <w:pPr>
              <w:spacing w:after="60"/>
            </w:pPr>
            <w:r>
              <w:rPr>
                <w:color w:val="1F2937"/>
                <w:sz w:val="17"/>
                <w:szCs w:val="17"/>
              </w:rPr>
              <w:t xml:space="preserve">Fettreicher Fisch und Fischöl</w:t>
            </w:r>
          </w:p>
        </w:tc>
        <w:tc>
          <w:tcPr>
            <w:tcW w:w="3700" w:type="dxa"/>
            <w:shd w:val="clear" w:color="auto" w:fill="FFFFFF"/>
            <w:vAlign w:val="top"/>
            <w:tcMar>
              <w:top w:w="90" w:type="dxa"/>
              <w:left w:w="90" w:type="dxa"/>
              <w:bottom w:w="90" w:type="dxa"/>
              <w:right w:w="90" w:type="dxa"/>
            </w:tcMar>
          </w:tcPr>
          <w:p>
            <w:pPr>
              <w:spacing w:after="60"/>
            </w:pPr>
            <w:r>
              <w:rPr>
                <w:color w:val="1F2937"/>
                <w:sz w:val="17"/>
                <w:szCs w:val="17"/>
              </w:rPr>
              <w:t xml:space="preserve">Entzündungs- und Signalwege liefern eine biologische Plausibilität. Große randomisierte Studien mit Fischöl zeigten jedoch keine niedrigere Gesamtinzidenz invasiver Krebserkrankungen.</w:t>
            </w:r>
          </w:p>
        </w:tc>
        <w:tc>
          <w:tcPr>
            <w:tcW w:w="2500" w:type="dxa"/>
            <w:shd w:val="clear" w:color="auto" w:fill="FFFFFF"/>
            <w:vAlign w:val="top"/>
            <w:tcMar>
              <w:top w:w="90" w:type="dxa"/>
              <w:left w:w="90" w:type="dxa"/>
              <w:bottom w:w="90" w:type="dxa"/>
              <w:right w:w="90" w:type="dxa"/>
            </w:tcMar>
          </w:tcPr>
          <w:p>
            <w:pPr>
              <w:spacing w:after="60"/>
            </w:pPr>
            <w:r>
              <w:rPr>
                <w:color w:val="1F2937"/>
                <w:sz w:val="17"/>
                <w:szCs w:val="17"/>
              </w:rPr>
              <w:t xml:space="preserve">NICHT ALS KREBSPRÄVENTION BELEGT.</w:t>
            </w:r>
          </w:p>
        </w:tc>
        <w:tc>
          <w:tcPr>
            <w:tcW w:w="3700" w:type="dxa"/>
            <w:shd w:val="clear" w:color="auto" w:fill="FFFFFF"/>
            <w:vAlign w:val="top"/>
            <w:tcMar>
              <w:top w:w="90" w:type="dxa"/>
              <w:left w:w="90" w:type="dxa"/>
              <w:bottom w:w="90" w:type="dxa"/>
              <w:right w:w="90" w:type="dxa"/>
            </w:tcMar>
          </w:tcPr>
          <w:p>
            <w:pPr>
              <w:spacing w:after="60"/>
            </w:pPr>
            <w:r>
              <w:rPr>
                <w:color w:val="1F2937"/>
                <w:sz w:val="17"/>
                <w:szCs w:val="17"/>
              </w:rPr>
              <w:t xml:space="preserve">Fisch kann Teil einer ausgewogenen Ernährung sein; Fischöl nicht speziell zur Krebsprävention empfehlen.</w:t>
            </w:r>
          </w:p>
        </w:tc>
      </w:tr>
      <w:tr>
        <w:trPr>
          <w:cantSplit/>
        </w:trPr>
        <w:tc>
          <w:tcPr>
            <w:tcW w:w="2300" w:type="dxa"/>
            <w:shd w:val="clear" w:color="auto" w:fill="F8FAFC"/>
            <w:vAlign w:val="top"/>
            <w:tcMar>
              <w:top w:w="90" w:type="dxa"/>
              <w:left w:w="90" w:type="dxa"/>
              <w:bottom w:w="90" w:type="dxa"/>
              <w:right w:w="90" w:type="dxa"/>
            </w:tcMar>
          </w:tcPr>
          <w:p>
            <w:pPr>
              <w:spacing w:after="60"/>
            </w:pPr>
            <w:r>
              <w:rPr>
                <w:b/>
                <w:color w:val="1F2937"/>
                <w:sz w:val="17"/>
                <w:szCs w:val="17"/>
              </w:rPr>
              <w:t xml:space="preserve">Vitamin D</w:t>
            </w:r>
          </w:p>
        </w:tc>
        <w:tc>
          <w:tcPr>
            <w:tcW w:w="2800" w:type="dxa"/>
            <w:shd w:val="clear" w:color="auto" w:fill="F8FAFC"/>
            <w:vAlign w:val="top"/>
            <w:tcMar>
              <w:top w:w="90" w:type="dxa"/>
              <w:left w:w="90" w:type="dxa"/>
              <w:bottom w:w="90" w:type="dxa"/>
              <w:right w:w="90" w:type="dxa"/>
            </w:tcMar>
          </w:tcPr>
          <w:p>
            <w:pPr>
              <w:spacing w:after="60"/>
            </w:pPr>
            <w:r>
              <w:rPr>
                <w:color w:val="1F2937"/>
                <w:sz w:val="17"/>
                <w:szCs w:val="17"/>
              </w:rPr>
              <w:t xml:space="preserve">Fetter Fisch, Eigelb, teils angereicherte Milchprodukte</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Beeinflusst Zellwachstum und Immunfunktionen. Randomisierte Studien mit Vitamin-D-Präparaten senkten die Krebsneuerkrankungsrate insgesamt nicht.</w:t>
            </w:r>
          </w:p>
        </w:tc>
        <w:tc>
          <w:tcPr>
            <w:tcW w:w="2500" w:type="dxa"/>
            <w:shd w:val="clear" w:color="auto" w:fill="F8FAFC"/>
            <w:vAlign w:val="top"/>
            <w:tcMar>
              <w:top w:w="90" w:type="dxa"/>
              <w:left w:w="90" w:type="dxa"/>
              <w:bottom w:w="90" w:type="dxa"/>
              <w:right w:w="90" w:type="dxa"/>
            </w:tcMar>
          </w:tcPr>
          <w:p>
            <w:pPr>
              <w:spacing w:after="60"/>
            </w:pPr>
            <w:r>
              <w:rPr>
                <w:color w:val="1F2937"/>
                <w:sz w:val="17"/>
                <w:szCs w:val="17"/>
              </w:rPr>
              <w:t xml:space="preserve">NICHT ALS ALLGEMEINE KREBSPRÄVENTION BELEGT.</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Mangel nach medizinischer Indikation behandeln; daraus kein allgemeines Anti-Krebs-Versprechen ableiten.</w:t>
            </w:r>
          </w:p>
        </w:tc>
      </w:tr>
    </w:tbl>
    <w:p>
      <w:pPr>
        <w:pStyle w:val="Heading1"/>
      </w:pPr>
      <w:r>
        <w:t xml:space="preserve">4. Potenziell schützende Faktoren in Pflanzenprodukten</w:t>
      </w:r>
    </w:p>
    <w:p>
      <w:pPr>
        <w:pStyle w:val="SectionIntro"/>
      </w:pPr>
      <w:r>
        <w:t xml:space="preserve">Die überzeugendsten Schutzbefunde beziehen sich auf ganze Lebensmittel und Ernährungsmuster – nicht auf isolierte Extrakte.</w:t>
      </w:r>
    </w:p>
    <w:tbl>
      <w:tblPr>
        <w:tblW w:w="0" w:type="auto"/>
        <w:tblLayout w:type="fixed"/>
        <w:tblBorders>
          <w:top w:val="single" w:sz="4" w:color="CBD5E1"/>
          <w:left w:val="single" w:sz="4" w:color="CBD5E1"/>
          <w:bottom w:val="single" w:sz="4" w:color="CBD5E1"/>
          <w:right w:val="single" w:sz="4" w:color="CBD5E1"/>
          <w:insideH w:val="single" w:sz="4" w:color="E2E8F0"/>
          <w:insideV w:val="single" w:sz="4" w:color="E2E8F0"/>
        </w:tblBorders>
        <w:tblCellMar>
          <w:top w:w="80" w:type="dxa"/>
          <w:left w:w="80" w:type="dxa"/>
          <w:bottom w:w="80" w:type="dxa"/>
          <w:right w:w="80" w:type="dxa"/>
        </w:tblCellMar>
      </w:tblPr>
      <w:tblGrid>
        <w:gridCol w:w="2300"/>
        <w:gridCol w:w="2800"/>
        <w:gridCol w:w="3700"/>
        <w:gridCol w:w="2500"/>
        <w:gridCol w:w="3700"/>
      </w:tblGrid>
      <w:tr>
        <w:trPr>
          <w:tblHeader/>
          <w:cantSplit/>
        </w:trPr>
        <w:tc>
          <w:tcPr>
            <w:tcW w:w="2300" w:type="dxa"/>
            <w:shd w:val="clear" w:color="auto" w:fill="15803D"/>
            <w:vAlign w:val="top"/>
            <w:tcMar>
              <w:top w:w="90" w:type="dxa"/>
              <w:left w:w="90" w:type="dxa"/>
              <w:bottom w:w="90" w:type="dxa"/>
              <w:right w:w="90" w:type="dxa"/>
            </w:tcMar>
          </w:tcPr>
          <w:p>
            <w:pPr>
              <w:spacing w:after="60"/>
            </w:pPr>
            <w:r>
              <w:rPr>
                <w:b/>
                <w:color w:val="FFFFFF"/>
                <w:sz w:val="17"/>
                <w:szCs w:val="17"/>
              </w:rPr>
              <w:t xml:space="preserve">Stoff / Exposition</w:t>
            </w:r>
          </w:p>
        </w:tc>
        <w:tc>
          <w:tcPr>
            <w:tcW w:w="2800" w:type="dxa"/>
            <w:shd w:val="clear" w:color="auto" w:fill="15803D"/>
            <w:vAlign w:val="top"/>
            <w:tcMar>
              <w:top w:w="90" w:type="dxa"/>
              <w:left w:w="90" w:type="dxa"/>
              <w:bottom w:w="90" w:type="dxa"/>
              <w:right w:w="90" w:type="dxa"/>
            </w:tcMar>
          </w:tcPr>
          <w:p>
            <w:pPr>
              <w:spacing w:after="60"/>
            </w:pPr>
            <w:r>
              <w:rPr>
                <w:b/>
                <w:color w:val="FFFFFF"/>
                <w:sz w:val="17"/>
                <w:szCs w:val="17"/>
              </w:rPr>
              <w:t xml:space="preserve">Typische Quellen</w:t>
            </w:r>
          </w:p>
        </w:tc>
        <w:tc>
          <w:tcPr>
            <w:tcW w:w="3700" w:type="dxa"/>
            <w:shd w:val="clear" w:color="auto" w:fill="15803D"/>
            <w:vAlign w:val="top"/>
            <w:tcMar>
              <w:top w:w="90" w:type="dxa"/>
              <w:left w:w="90" w:type="dxa"/>
              <w:bottom w:w="90" w:type="dxa"/>
              <w:right w:w="90" w:type="dxa"/>
            </w:tcMar>
          </w:tcPr>
          <w:p>
            <w:pPr>
              <w:spacing w:after="60"/>
            </w:pPr>
            <w:r>
              <w:rPr>
                <w:b/>
                <w:color w:val="FFFFFF"/>
                <w:sz w:val="17"/>
                <w:szCs w:val="17"/>
              </w:rPr>
              <w:t xml:space="preserve">Warum relevant?</w:t>
            </w:r>
          </w:p>
        </w:tc>
        <w:tc>
          <w:tcPr>
            <w:tcW w:w="2500" w:type="dxa"/>
            <w:shd w:val="clear" w:color="auto" w:fill="15803D"/>
            <w:vAlign w:val="top"/>
            <w:tcMar>
              <w:top w:w="90" w:type="dxa"/>
              <w:left w:w="90" w:type="dxa"/>
              <w:bottom w:w="90" w:type="dxa"/>
              <w:right w:w="90" w:type="dxa"/>
            </w:tcMar>
          </w:tcPr>
          <w:p>
            <w:pPr>
              <w:spacing w:after="60"/>
            </w:pPr>
            <w:r>
              <w:rPr>
                <w:b/>
                <w:color w:val="FFFFFF"/>
                <w:sz w:val="17"/>
                <w:szCs w:val="17"/>
              </w:rPr>
              <w:t xml:space="preserve">Evidenz</w:t>
            </w:r>
          </w:p>
        </w:tc>
        <w:tc>
          <w:tcPr>
            <w:tcW w:w="3700" w:type="dxa"/>
            <w:shd w:val="clear" w:color="auto" w:fill="15803D"/>
            <w:vAlign w:val="top"/>
            <w:tcMar>
              <w:top w:w="90" w:type="dxa"/>
              <w:left w:w="90" w:type="dxa"/>
              <w:bottom w:w="90" w:type="dxa"/>
              <w:right w:w="90" w:type="dxa"/>
            </w:tcMar>
          </w:tcPr>
          <w:p>
            <w:pPr>
              <w:spacing w:after="60"/>
            </w:pPr>
            <w:r>
              <w:rPr>
                <w:b/>
                <w:color w:val="FFFFFF"/>
                <w:sz w:val="17"/>
                <w:szCs w:val="17"/>
              </w:rPr>
              <w:t xml:space="preserve">Praktische Einordnung</w:t>
            </w:r>
          </w:p>
        </w:tc>
      </w:tr>
      <w:tr>
        <w:trPr>
          <w:cantSplit/>
        </w:trPr>
        <w:tc>
          <w:tcPr>
            <w:tcW w:w="2300" w:type="dxa"/>
            <w:shd w:val="clear" w:color="auto" w:fill="F8FAFC"/>
            <w:vAlign w:val="top"/>
            <w:tcMar>
              <w:top w:w="90" w:type="dxa"/>
              <w:left w:w="90" w:type="dxa"/>
              <w:bottom w:w="90" w:type="dxa"/>
              <w:right w:w="90" w:type="dxa"/>
            </w:tcMar>
          </w:tcPr>
          <w:p>
            <w:pPr>
              <w:spacing w:after="60"/>
            </w:pPr>
            <w:r>
              <w:rPr>
                <w:b/>
                <w:color w:val="1F2937"/>
                <w:sz w:val="17"/>
                <w:szCs w:val="17"/>
              </w:rPr>
              <w:t xml:space="preserve">Ballaststoffe</w:t>
            </w:r>
          </w:p>
        </w:tc>
        <w:tc>
          <w:tcPr>
            <w:tcW w:w="2800" w:type="dxa"/>
            <w:shd w:val="clear" w:color="auto" w:fill="F8FAFC"/>
            <w:vAlign w:val="top"/>
            <w:tcMar>
              <w:top w:w="90" w:type="dxa"/>
              <w:left w:w="90" w:type="dxa"/>
              <w:bottom w:w="90" w:type="dxa"/>
              <w:right w:w="90" w:type="dxa"/>
            </w:tcMar>
          </w:tcPr>
          <w:p>
            <w:pPr>
              <w:spacing w:after="60"/>
            </w:pPr>
            <w:r>
              <w:rPr>
                <w:color w:val="1F2937"/>
                <w:sz w:val="17"/>
                <w:szCs w:val="17"/>
              </w:rPr>
              <w:t xml:space="preserve">Vollkorn, Hülsenfrüchte, Gemüse, Obst, Nüsse und Samen</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Erhöhen Stuhlvolumen, verkürzen die Kontaktzeit potenziell schädlicher Stoffe und werden zu kurzkettigen Fettsäuren wie Butyrat fermentiert.</w:t>
            </w:r>
          </w:p>
        </w:tc>
        <w:tc>
          <w:tcPr>
            <w:tcW w:w="2500" w:type="dxa"/>
            <w:shd w:val="clear" w:color="auto" w:fill="F8FAFC"/>
            <w:vAlign w:val="top"/>
            <w:tcMar>
              <w:top w:w="90" w:type="dxa"/>
              <w:left w:w="90" w:type="dxa"/>
              <w:bottom w:w="90" w:type="dxa"/>
              <w:right w:w="90" w:type="dxa"/>
            </w:tcMar>
          </w:tcPr>
          <w:p>
            <w:pPr>
              <w:spacing w:after="60"/>
            </w:pPr>
            <w:r>
              <w:rPr>
                <w:color w:val="1F2937"/>
                <w:sz w:val="17"/>
                <w:szCs w:val="17"/>
              </w:rPr>
              <w:t xml:space="preserve">HOCH – starke Evidenz für ein geringeres Darmkrebsrisiko bei ballaststoffreichen Lebensmitteln.</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Langsam steigern und ausreichend trinken. Der Schutz bezieht sich auf Ernährungsmuster und Lebensmittel, nicht auf eine Krebstherapie.</w:t>
            </w:r>
          </w:p>
        </w:tc>
      </w:tr>
      <w:tr>
        <w:trPr>
          <w:cantSplit/>
        </w:trPr>
        <w:tc>
          <w:tcPr>
            <w:tcW w:w="2300" w:type="dxa"/>
            <w:shd w:val="clear" w:color="auto" w:fill="FFFFFF"/>
            <w:vAlign w:val="top"/>
            <w:tcMar>
              <w:top w:w="90" w:type="dxa"/>
              <w:left w:w="90" w:type="dxa"/>
              <w:bottom w:w="90" w:type="dxa"/>
              <w:right w:w="90" w:type="dxa"/>
            </w:tcMar>
          </w:tcPr>
          <w:p>
            <w:pPr>
              <w:spacing w:after="60"/>
            </w:pPr>
            <w:r>
              <w:rPr>
                <w:b/>
                <w:color w:val="1F2937"/>
                <w:sz w:val="17"/>
                <w:szCs w:val="17"/>
              </w:rPr>
              <w:t xml:space="preserve">Vollkorn</w:t>
            </w:r>
          </w:p>
        </w:tc>
        <w:tc>
          <w:tcPr>
            <w:tcW w:w="2800" w:type="dxa"/>
            <w:shd w:val="clear" w:color="auto" w:fill="FFFFFF"/>
            <w:vAlign w:val="top"/>
            <w:tcMar>
              <w:top w:w="90" w:type="dxa"/>
              <w:left w:w="90" w:type="dxa"/>
              <w:bottom w:w="90" w:type="dxa"/>
              <w:right w:w="90" w:type="dxa"/>
            </w:tcMar>
          </w:tcPr>
          <w:p>
            <w:pPr>
              <w:spacing w:after="60"/>
            </w:pPr>
            <w:r>
              <w:rPr>
                <w:color w:val="1F2937"/>
                <w:sz w:val="17"/>
                <w:szCs w:val="17"/>
              </w:rPr>
              <w:t xml:space="preserve">Vollkornbrot, Hafer, Gerste, Roggen, Naturreis und andere ganze Körner</w:t>
            </w:r>
          </w:p>
        </w:tc>
        <w:tc>
          <w:tcPr>
            <w:tcW w:w="3700" w:type="dxa"/>
            <w:shd w:val="clear" w:color="auto" w:fill="FFFFFF"/>
            <w:vAlign w:val="top"/>
            <w:tcMar>
              <w:top w:w="90" w:type="dxa"/>
              <w:left w:w="90" w:type="dxa"/>
              <w:bottom w:w="90" w:type="dxa"/>
              <w:right w:w="90" w:type="dxa"/>
            </w:tcMar>
          </w:tcPr>
          <w:p>
            <w:pPr>
              <w:spacing w:after="60"/>
            </w:pPr>
            <w:r>
              <w:rPr>
                <w:color w:val="1F2937"/>
                <w:sz w:val="17"/>
                <w:szCs w:val="17"/>
              </w:rPr>
              <w:t xml:space="preserve">Liefert Ballaststoffe plus zahlreiche bioaktive Begleitstoffe. Vollkornverzehr ist mit geringerem Darmkrebsrisiko verbunden.</w:t>
            </w:r>
          </w:p>
        </w:tc>
        <w:tc>
          <w:tcPr>
            <w:tcW w:w="2500" w:type="dxa"/>
            <w:shd w:val="clear" w:color="auto" w:fill="FFFFFF"/>
            <w:vAlign w:val="top"/>
            <w:tcMar>
              <w:top w:w="90" w:type="dxa"/>
              <w:left w:w="90" w:type="dxa"/>
              <w:bottom w:w="90" w:type="dxa"/>
              <w:right w:w="90" w:type="dxa"/>
            </w:tcMar>
          </w:tcPr>
          <w:p>
            <w:pPr>
              <w:spacing w:after="60"/>
            </w:pPr>
            <w:r>
              <w:rPr>
                <w:color w:val="1F2937"/>
                <w:sz w:val="17"/>
                <w:szCs w:val="17"/>
              </w:rPr>
              <w:t xml:space="preserve">HOCH – starke Evidenz für Darmkrebs.</w:t>
            </w:r>
          </w:p>
        </w:tc>
        <w:tc>
          <w:tcPr>
            <w:tcW w:w="3700" w:type="dxa"/>
            <w:shd w:val="clear" w:color="auto" w:fill="FFFFFF"/>
            <w:vAlign w:val="top"/>
            <w:tcMar>
              <w:top w:w="90" w:type="dxa"/>
              <w:left w:w="90" w:type="dxa"/>
              <w:bottom w:w="90" w:type="dxa"/>
              <w:right w:w="90" w:type="dxa"/>
            </w:tcMar>
          </w:tcPr>
          <w:p>
            <w:pPr>
              <w:spacing w:after="60"/>
            </w:pPr>
            <w:r>
              <w:rPr>
                <w:color w:val="1F2937"/>
                <w:sz w:val="17"/>
                <w:szCs w:val="17"/>
              </w:rPr>
              <w:t xml:space="preserve">Möglichst häufig raffinierte Getreideprodukte durch Vollkorn ersetzen; bei individuellen Erkrankungen Verträglichkeit beachten.</w:t>
            </w:r>
          </w:p>
        </w:tc>
      </w:tr>
      <w:tr>
        <w:trPr>
          <w:cantSplit/>
        </w:trPr>
        <w:tc>
          <w:tcPr>
            <w:tcW w:w="2300" w:type="dxa"/>
            <w:shd w:val="clear" w:color="auto" w:fill="F8FAFC"/>
            <w:vAlign w:val="top"/>
            <w:tcMar>
              <w:top w:w="90" w:type="dxa"/>
              <w:left w:w="90" w:type="dxa"/>
              <w:bottom w:w="90" w:type="dxa"/>
              <w:right w:w="90" w:type="dxa"/>
            </w:tcMar>
          </w:tcPr>
          <w:p>
            <w:pPr>
              <w:spacing w:after="60"/>
            </w:pPr>
            <w:r>
              <w:rPr>
                <w:b/>
                <w:color w:val="1F2937"/>
                <w:sz w:val="17"/>
                <w:szCs w:val="17"/>
              </w:rPr>
              <w:t xml:space="preserve">Nicht stärkehaltiges Gemüse und Obst als Muster</w:t>
            </w:r>
          </w:p>
        </w:tc>
        <w:tc>
          <w:tcPr>
            <w:tcW w:w="2800" w:type="dxa"/>
            <w:shd w:val="clear" w:color="auto" w:fill="F8FAFC"/>
            <w:vAlign w:val="top"/>
            <w:tcMar>
              <w:top w:w="90" w:type="dxa"/>
              <w:left w:w="90" w:type="dxa"/>
              <w:bottom w:w="90" w:type="dxa"/>
              <w:right w:w="90" w:type="dxa"/>
            </w:tcMar>
          </w:tcPr>
          <w:p>
            <w:pPr>
              <w:spacing w:after="60"/>
            </w:pPr>
            <w:r>
              <w:rPr>
                <w:color w:val="1F2937"/>
                <w:sz w:val="17"/>
                <w:szCs w:val="17"/>
              </w:rPr>
              <w:t xml:space="preserve">Bunte Gemüse- und Obstauswahl</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Liefert Ballaststoffe, Vitamine und viele sekundäre Pflanzenstoffe. Die Gesamtevidenz spricht für Schutz vor mehreren Krebsarten im Mund-Rachen-Speiseröhren-Bereich; für einzelne Sorten oder Moleküle ist sie meist schwächer.</w:t>
            </w:r>
          </w:p>
        </w:tc>
        <w:tc>
          <w:tcPr>
            <w:tcW w:w="2500" w:type="dxa"/>
            <w:shd w:val="clear" w:color="auto" w:fill="F8FAFC"/>
            <w:vAlign w:val="top"/>
            <w:tcMar>
              <w:top w:w="90" w:type="dxa"/>
              <w:left w:w="90" w:type="dxa"/>
              <w:bottom w:w="90" w:type="dxa"/>
              <w:right w:w="90" w:type="dxa"/>
            </w:tcMar>
          </w:tcPr>
          <w:p>
            <w:pPr>
              <w:spacing w:after="60"/>
            </w:pPr>
            <w:r>
              <w:rPr>
                <w:color w:val="1F2937"/>
                <w:sz w:val="17"/>
                <w:szCs w:val="17"/>
              </w:rPr>
              <w:t xml:space="preserve">MITTEL – wahrscheinlicher Schutz als Lebensmittelmuster; keine pauschale Wirkung jedes einzelnen Inhaltsstoffs.</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Vielfalt und Regelmäßigkeit zählen mehr als „Superfoods“ oder hoch dosierte Extrakte.</w:t>
            </w:r>
          </w:p>
        </w:tc>
      </w:tr>
      <w:tr>
        <w:trPr>
          <w:cantSplit/>
        </w:trPr>
        <w:tc>
          <w:tcPr>
            <w:tcW w:w="2300" w:type="dxa"/>
            <w:shd w:val="clear" w:color="auto" w:fill="FFFFFF"/>
            <w:vAlign w:val="top"/>
            <w:tcMar>
              <w:top w:w="90" w:type="dxa"/>
              <w:left w:w="90" w:type="dxa"/>
              <w:bottom w:w="90" w:type="dxa"/>
              <w:right w:w="90" w:type="dxa"/>
            </w:tcMar>
          </w:tcPr>
          <w:p>
            <w:pPr>
              <w:spacing w:after="60"/>
            </w:pPr>
            <w:r>
              <w:rPr>
                <w:b/>
                <w:color w:val="1F2937"/>
                <w:sz w:val="17"/>
                <w:szCs w:val="17"/>
              </w:rPr>
              <w:t xml:space="preserve">Kaffee als Getränk</w:t>
            </w:r>
          </w:p>
        </w:tc>
        <w:tc>
          <w:tcPr>
            <w:tcW w:w="2800" w:type="dxa"/>
            <w:shd w:val="clear" w:color="auto" w:fill="FFFFFF"/>
            <w:vAlign w:val="top"/>
            <w:tcMar>
              <w:top w:w="90" w:type="dxa"/>
              <w:left w:w="90" w:type="dxa"/>
              <w:bottom w:w="90" w:type="dxa"/>
              <w:right w:w="90" w:type="dxa"/>
            </w:tcMar>
          </w:tcPr>
          <w:p>
            <w:pPr>
              <w:spacing w:after="60"/>
            </w:pPr>
            <w:r>
              <w:rPr>
                <w:color w:val="1F2937"/>
                <w:sz w:val="17"/>
                <w:szCs w:val="17"/>
              </w:rPr>
              <w:t xml:space="preserve">Kaffee verschiedener Zubereitungsarten</w:t>
            </w:r>
          </w:p>
        </w:tc>
        <w:tc>
          <w:tcPr>
            <w:tcW w:w="3700" w:type="dxa"/>
            <w:shd w:val="clear" w:color="auto" w:fill="FFFFFF"/>
            <w:vAlign w:val="top"/>
            <w:tcMar>
              <w:top w:w="90" w:type="dxa"/>
              <w:left w:w="90" w:type="dxa"/>
              <w:bottom w:w="90" w:type="dxa"/>
              <w:right w:w="90" w:type="dxa"/>
            </w:tcMar>
          </w:tcPr>
          <w:p>
            <w:pPr>
              <w:spacing w:after="60"/>
            </w:pPr>
            <w:r>
              <w:rPr>
                <w:color w:val="1F2937"/>
                <w:sz w:val="17"/>
                <w:szCs w:val="17"/>
              </w:rPr>
              <w:t xml:space="preserve">Beobachtungsdaten zeigen ein geringeres Risiko für Leber- und Gebärmutterschleimhautkrebs. Verantwortliche Inhaltsstoffe und optimale Zubereitung sind nicht abschließend geklärt.</w:t>
            </w:r>
          </w:p>
        </w:tc>
        <w:tc>
          <w:tcPr>
            <w:tcW w:w="2500" w:type="dxa"/>
            <w:shd w:val="clear" w:color="auto" w:fill="FFFFFF"/>
            <w:vAlign w:val="top"/>
            <w:tcMar>
              <w:top w:w="90" w:type="dxa"/>
              <w:left w:w="90" w:type="dxa"/>
              <w:bottom w:w="90" w:type="dxa"/>
              <w:right w:w="90" w:type="dxa"/>
            </w:tcMar>
          </w:tcPr>
          <w:p>
            <w:pPr>
              <w:spacing w:after="60"/>
            </w:pPr>
            <w:r>
              <w:rPr>
                <w:color w:val="1F2937"/>
                <w:sz w:val="17"/>
                <w:szCs w:val="17"/>
              </w:rPr>
              <w:t xml:space="preserve">MITTEL bis HOCH für die beobachtete Risikosenkung; keine allgemeine Empfehlung allein zur Krebsprävention.</w:t>
            </w:r>
          </w:p>
        </w:tc>
        <w:tc>
          <w:tcPr>
            <w:tcW w:w="3700" w:type="dxa"/>
            <w:shd w:val="clear" w:color="auto" w:fill="FFFFFF"/>
            <w:vAlign w:val="top"/>
            <w:tcMar>
              <w:top w:w="90" w:type="dxa"/>
              <w:left w:w="90" w:type="dxa"/>
              <w:bottom w:w="90" w:type="dxa"/>
              <w:right w:w="90" w:type="dxa"/>
            </w:tcMar>
          </w:tcPr>
          <w:p>
            <w:pPr>
              <w:spacing w:after="60"/>
            </w:pPr>
            <w:r>
              <w:rPr>
                <w:color w:val="1F2937"/>
                <w:sz w:val="17"/>
                <w:szCs w:val="17"/>
              </w:rPr>
              <w:t xml:space="preserve">Verträglichkeit, Koffein, Schwangerschaft und Zusätze berücksichtigen; sehr heißes Trinken vermeiden.</w:t>
            </w:r>
          </w:p>
        </w:tc>
      </w:tr>
      <w:tr>
        <w:trPr>
          <w:cantSplit/>
        </w:trPr>
        <w:tc>
          <w:tcPr>
            <w:tcW w:w="2300" w:type="dxa"/>
            <w:shd w:val="clear" w:color="auto" w:fill="F8FAFC"/>
            <w:vAlign w:val="top"/>
            <w:tcMar>
              <w:top w:w="90" w:type="dxa"/>
              <w:left w:w="90" w:type="dxa"/>
              <w:bottom w:w="90" w:type="dxa"/>
              <w:right w:w="90" w:type="dxa"/>
            </w:tcMar>
          </w:tcPr>
          <w:p>
            <w:pPr>
              <w:spacing w:after="60"/>
            </w:pPr>
            <w:r>
              <w:rPr>
                <w:b/>
                <w:color w:val="1F2937"/>
                <w:sz w:val="17"/>
                <w:szCs w:val="17"/>
              </w:rPr>
              <w:t xml:space="preserve">Glucosinolate / Isothiocyanate</w:t>
            </w:r>
          </w:p>
        </w:tc>
        <w:tc>
          <w:tcPr>
            <w:tcW w:w="2800" w:type="dxa"/>
            <w:shd w:val="clear" w:color="auto" w:fill="F8FAFC"/>
            <w:vAlign w:val="top"/>
            <w:tcMar>
              <w:top w:w="90" w:type="dxa"/>
              <w:left w:w="90" w:type="dxa"/>
              <w:bottom w:w="90" w:type="dxa"/>
              <w:right w:w="90" w:type="dxa"/>
            </w:tcMar>
          </w:tcPr>
          <w:p>
            <w:pPr>
              <w:spacing w:after="60"/>
            </w:pPr>
            <w:r>
              <w:rPr>
                <w:color w:val="1F2937"/>
                <w:sz w:val="17"/>
                <w:szCs w:val="17"/>
              </w:rPr>
              <w:t xml:space="preserve">Brokkoli, Kohl, Rosenkohl, Rucola und andere Kreuzblütler</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Beeinflussen in Labor- und Tiermodellen Enzyme des Fremdstoffabbaus, Entzündung und Zellzyklus.</w:t>
            </w:r>
          </w:p>
        </w:tc>
        <w:tc>
          <w:tcPr>
            <w:tcW w:w="2500" w:type="dxa"/>
            <w:shd w:val="clear" w:color="auto" w:fill="F8FAFC"/>
            <w:vAlign w:val="top"/>
            <w:tcMar>
              <w:top w:w="90" w:type="dxa"/>
              <w:left w:w="90" w:type="dxa"/>
              <w:bottom w:w="90" w:type="dxa"/>
              <w:right w:w="90" w:type="dxa"/>
            </w:tcMar>
          </w:tcPr>
          <w:p>
            <w:pPr>
              <w:spacing w:after="60"/>
            </w:pPr>
            <w:r>
              <w:rPr>
                <w:color w:val="1F2937"/>
                <w:sz w:val="17"/>
                <w:szCs w:val="17"/>
              </w:rPr>
              <w:t xml:space="preserve">BEGRENZT beim Menschen – Mechanismen sind kein Beweis, dass ein isolierter Stoff Krebs verhindert.</w:t>
            </w:r>
          </w:p>
        </w:tc>
        <w:tc>
          <w:tcPr>
            <w:tcW w:w="3700" w:type="dxa"/>
            <w:shd w:val="clear" w:color="auto" w:fill="F8FAFC"/>
            <w:vAlign w:val="top"/>
            <w:tcMar>
              <w:top w:w="90" w:type="dxa"/>
              <w:left w:w="90" w:type="dxa"/>
              <w:bottom w:w="90" w:type="dxa"/>
              <w:right w:w="90" w:type="dxa"/>
            </w:tcMar>
          </w:tcPr>
          <w:p>
            <w:pPr>
              <w:spacing w:after="60"/>
            </w:pPr>
            <w:r>
              <w:rPr>
                <w:color w:val="1F2937"/>
                <w:sz w:val="17"/>
                <w:szCs w:val="17"/>
              </w:rPr>
              <w:t xml:space="preserve">Als Teil abwechslungsreicher Gemüsezufuhr sinnvoll; keine hoch dosierten Extrakte als Krebsprävention versprechen.</w:t>
            </w:r>
          </w:p>
        </w:tc>
      </w:tr>
      <w:tr>
        <w:trPr>
          <w:cantSplit/>
        </w:trPr>
        <w:tc>
          <w:tcPr>
            <w:tcW w:w="2300" w:type="dxa"/>
            <w:shd w:val="clear" w:color="auto" w:fill="FFFFFF"/>
            <w:vAlign w:val="top"/>
            <w:tcMar>
              <w:top w:w="90" w:type="dxa"/>
              <w:left w:w="90" w:type="dxa"/>
              <w:bottom w:w="90" w:type="dxa"/>
              <w:right w:w="90" w:type="dxa"/>
            </w:tcMar>
          </w:tcPr>
          <w:p>
            <w:pPr>
              <w:spacing w:after="60"/>
            </w:pPr>
            <w:r>
              <w:rPr>
                <w:b/>
                <w:color w:val="1F2937"/>
                <w:sz w:val="17"/>
                <w:szCs w:val="17"/>
              </w:rPr>
              <w:t xml:space="preserve">Polyphenole und Flavonoide</w:t>
            </w:r>
          </w:p>
        </w:tc>
        <w:tc>
          <w:tcPr>
            <w:tcW w:w="2800" w:type="dxa"/>
            <w:shd w:val="clear" w:color="auto" w:fill="FFFFFF"/>
            <w:vAlign w:val="top"/>
            <w:tcMar>
              <w:top w:w="90" w:type="dxa"/>
              <w:left w:w="90" w:type="dxa"/>
              <w:bottom w:w="90" w:type="dxa"/>
              <w:right w:w="90" w:type="dxa"/>
            </w:tcMar>
          </w:tcPr>
          <w:p>
            <w:pPr>
              <w:spacing w:after="60"/>
            </w:pPr>
            <w:r>
              <w:rPr>
                <w:color w:val="1F2937"/>
                <w:sz w:val="17"/>
                <w:szCs w:val="17"/>
              </w:rPr>
              <w:t xml:space="preserve">Beeren, Zwiebeln, Äpfel, Kräuter, Tee, Kakao und viele weitere Pflanzenprodukte</w:t>
            </w:r>
          </w:p>
        </w:tc>
        <w:tc>
          <w:tcPr>
            <w:tcW w:w="3700" w:type="dxa"/>
            <w:shd w:val="clear" w:color="auto" w:fill="FFFFFF"/>
            <w:vAlign w:val="top"/>
            <w:tcMar>
              <w:top w:w="90" w:type="dxa"/>
              <w:left w:w="90" w:type="dxa"/>
              <w:bottom w:w="90" w:type="dxa"/>
              <w:right w:w="90" w:type="dxa"/>
            </w:tcMar>
          </w:tcPr>
          <w:p>
            <w:pPr>
              <w:spacing w:after="60"/>
            </w:pPr>
            <w:r>
              <w:rPr>
                <w:color w:val="1F2937"/>
                <w:sz w:val="17"/>
                <w:szCs w:val="17"/>
              </w:rPr>
              <w:t xml:space="preserve">Antioxidative und signalmodulierende Effekte sind präklinisch gut beschreibbar; Aufnahme, Stoffwechsel und wirksame Dosis unterscheiden sich beim Menschen stark.</w:t>
            </w:r>
          </w:p>
        </w:tc>
        <w:tc>
          <w:tcPr>
            <w:tcW w:w="2500" w:type="dxa"/>
            <w:shd w:val="clear" w:color="auto" w:fill="FFFFFF"/>
            <w:vAlign w:val="top"/>
            <w:tcMar>
              <w:top w:w="90" w:type="dxa"/>
              <w:left w:w="90" w:type="dxa"/>
              <w:bottom w:w="90" w:type="dxa"/>
              <w:right w:w="90" w:type="dxa"/>
            </w:tcMar>
          </w:tcPr>
          <w:p>
            <w:pPr>
              <w:spacing w:after="60"/>
            </w:pPr>
            <w:r>
              <w:rPr>
                <w:color w:val="1F2937"/>
                <w:sz w:val="17"/>
                <w:szCs w:val="17"/>
              </w:rPr>
              <w:t xml:space="preserve">BEGRENZT für einzelne Stoffe; Schutz lässt sich eher dem gesamten Ernährungsmuster zuordnen.</w:t>
            </w:r>
          </w:p>
        </w:tc>
        <w:tc>
          <w:tcPr>
            <w:tcW w:w="3700" w:type="dxa"/>
            <w:shd w:val="clear" w:color="auto" w:fill="FFFFFF"/>
            <w:vAlign w:val="top"/>
            <w:tcMar>
              <w:top w:w="90" w:type="dxa"/>
              <w:left w:w="90" w:type="dxa"/>
              <w:bottom w:w="90" w:type="dxa"/>
              <w:right w:w="90" w:type="dxa"/>
            </w:tcMar>
          </w:tcPr>
          <w:p>
            <w:pPr>
              <w:spacing w:after="60"/>
            </w:pPr>
            <w:r>
              <w:rPr>
                <w:color w:val="1F2937"/>
                <w:sz w:val="17"/>
                <w:szCs w:val="17"/>
              </w:rPr>
              <w:t xml:space="preserve">Lebensmittelvielfalt bevorzugen. Zellkultur-Ergebnisse nicht als klinische Wirksamkeit darstellen.</w:t>
            </w:r>
          </w:p>
        </w:tc>
      </w:tr>
    </w:tbl>
    <w:p>
      <w:pPr>
        <w:pStyle w:val="Heading1"/>
      </w:pPr>
      <w:r>
        <w:t xml:space="preserve">Redaktionell empfohlene Kernaussage</w:t>
      </w:r>
    </w:p>
    <w:p>
      <w:pPr>
        <w:pStyle w:val="Callout"/>
      </w:pPr>
      <w:r>
        <w:t>Nicht „tierisch gegen pflanzlich“, sondern Expositionen und Ernährungsmuster vergleichen: verarbeitetes Fleisch möglichst vermeiden, rotes Fleisch begrenzen, Alkohol zur Krebsprävention am besten meiden sowie Kontaminanten und starke Verkohlung reduzieren. Vollkorn, Hülsenfrüchte, Gemüse und Obst gehören regelmäßig auf den Speiseplan. Milchprodukte können im Rahmen einer verträglichen Ernährung Calcium liefern und sind mit einem geringeren Darmkrebsrisiko verbunden, erlauben aber keine pauschale Anti-Krebs-Aussage.</w:t>
      </w:r>
    </w:p>
    <w:p>
      <w:pPr>
        <w:pStyle w:val="Heading1"/>
      </w:pPr>
      <w:r>
        <w:t xml:space="preserve">Wichtige Grenzen</w:t>
      </w:r>
    </w:p>
    <w:p>
      <w:pPr>
        <w:pStyle w:val="Normal"/>
        <w:numPr>
          <w:ilvl w:val="0"/>
          <w:numId w:val="1"/>
        </w:numPr>
      </w:pPr>
      <w:r>
        <w:t xml:space="preserve">Das Dokument dient der Information und ersetzt keine ärztliche Diagnose, Behandlung oder individuelle Ernährungsberatung.</w:t>
      </w:r>
    </w:p>
    <w:p>
      <w:pPr>
        <w:pStyle w:val="Normal"/>
        <w:numPr>
          <w:ilvl w:val="0"/>
          <w:numId w:val="1"/>
        </w:numPr>
      </w:pPr>
      <w:r>
        <w:t xml:space="preserve">Krebsrisiko entsteht aus vielen Faktoren. Einzelne Lebensmittel erklären nur einen Teil des Gesamtrisikos.</w:t>
      </w:r>
    </w:p>
    <w:p>
      <w:pPr>
        <w:pStyle w:val="Normal"/>
        <w:numPr>
          <w:ilvl w:val="0"/>
          <w:numId w:val="1"/>
        </w:numPr>
      </w:pPr>
      <w:r>
        <w:t xml:space="preserve">Menschen mit Krebs, Mangelernährung, Nieren- oder Lebererkrankungen sowie während Chemo- oder Strahlentherapie benötigen eine individuelle fachliche Einordnung.</w:t>
      </w:r>
    </w:p>
    <w:p>
      <w:pPr>
        <w:pStyle w:val="Normal"/>
        <w:numPr>
          <w:ilvl w:val="0"/>
          <w:numId w:val="1"/>
        </w:numPr>
      </w:pPr>
      <w:r>
        <w:t xml:space="preserve">Nahrungsergänzungsmittel nicht mit Lebensmitteln gleichsetzen; hohe Dosen können wirkungslos oder schädlich sein.</w:t>
      </w:r>
    </w:p>
    <w:p>
      <w:pPr>
        <w:pStyle w:val="Heading1"/>
      </w:pPr>
      <w:r>
        <w:t xml:space="preserve">Quellen und fachliche Grundlage</w:t>
      </w:r>
    </w:p>
    <w:p>
      <w:pPr>
        <w:pStyle w:val="Source"/>
      </w:pPr>
      <w:r>
        <w:t xml:space="preserve">1. IARC: Evaluation of consumption of red meat and processed meat (Monographs Volume 114). https://www.iarc.who.int/featured-news/media-centre-iarc-news-redmeat/</w:t>
      </w:r>
    </w:p>
    <w:p>
      <w:pPr>
        <w:pStyle w:val="Source"/>
      </w:pPr>
      <w:r>
        <w:t xml:space="preserve">2. National Cancer Institute: Chemicals in Meat Cooked at High Temperatures and Cancer Risk. https://www.cancer.gov/about-cancer/causes-prevention/risk/diet/cooked-meats-fact-sheet</w:t>
      </w:r>
    </w:p>
    <w:p>
      <w:pPr>
        <w:pStyle w:val="Source"/>
      </w:pPr>
      <w:r>
        <w:t xml:space="preserve">3. WHO: Mycotoxins – Fact sheet. https://www.who.int/news-room/fact-sheets/detail/mycotoxins</w:t>
      </w:r>
    </w:p>
    <w:p>
      <w:pPr>
        <w:pStyle w:val="Source"/>
      </w:pPr>
      <w:r>
        <w:t xml:space="preserve">4. WHO: Arsenic – Fact sheet. https://www.who.int/news-room/fact-sheets/detail/arsenic</w:t>
      </w:r>
    </w:p>
    <w:p>
      <w:pPr>
        <w:pStyle w:val="Source"/>
      </w:pPr>
      <w:r>
        <w:t xml:space="preserve">5. IARC: Reduction or Cessation of Alcohol Consumption – FAQ, Handbooks Volume 20A. https://www.iarc.who.int/faq/iarc-handbooks-of-cancer-prevention-volume-20a-reduction-or-cessation-of-alcohol-consumption/</w:t>
      </w:r>
    </w:p>
    <w:p>
      <w:pPr>
        <w:pStyle w:val="Source"/>
      </w:pPr>
      <w:r>
        <w:t xml:space="preserve">6. IARC: Aristolochic acid-associated cancers: a public health risk in need of global action. https://www.iarc.who.int/news-events/aristolochic-acid-associated-cancers-a-public-health-risk-in-need-of-global-action/</w:t>
      </w:r>
    </w:p>
    <w:p>
      <w:pPr>
        <w:pStyle w:val="Source"/>
      </w:pPr>
      <w:r>
        <w:t xml:space="preserve">7. World Cancer Research Fund: Eat a diet rich in wholegrains, vegetables, fruit and beans. https://www.wcrf.org/research-policy/evidence-for-our-recommendations/wholegrains-veg-fruit-beans/</w:t>
      </w:r>
    </w:p>
    <w:p>
      <w:pPr>
        <w:pStyle w:val="Source"/>
      </w:pPr>
      <w:r>
        <w:t xml:space="preserve">8. World Cancer Research Fund: Dairy and cancer. https://www.wcrf.org/preventing-cancer/topics/dairy-and-cancer/</w:t>
      </w:r>
    </w:p>
    <w:p>
      <w:pPr>
        <w:pStyle w:val="Source"/>
      </w:pPr>
      <w:r>
        <w:t xml:space="preserve">9. World Cancer Research Fund: Regional variations – dairy, calcium, coffee and very hot maté. https://www.wcrf.org/research-policy/evidence-for-our-recommendations/regional-variations/</w:t>
      </w:r>
    </w:p>
    <w:p>
      <w:pPr>
        <w:pStyle w:val="Source"/>
      </w:pPr>
      <w:r>
        <w:t>10. IARC: European Code Against Cancer, 5th edition – 14 ways to help prevent cancer. https://cancer-code-europe.iarc.who.int/</w:t>
      </w:r>
    </w:p>
    <w:p>
      <w:pPr>
        <w:pStyle w:val="Source"/>
      </w:pPr>
      <w:r>
        <w:t xml:space="preserve">11. National Cancer Institute: Vitamin D and Cancer. https://www.cancer.gov/about-cancer/causes-prevention/risk/diet/vitamin-d-fact-sheet</w:t>
      </w:r>
    </w:p>
    <w:p>
      <w:pPr>
        <w:pStyle w:val="Source"/>
      </w:pPr>
      <w:r>
        <w:t xml:space="preserve">12. National Cancer Institute: Cancer Prevention Overview (PDQ) – Vitamin D, Omega-3, Selenium/Vitamin E. https://www.cancer.gov/about-cancer/causes-prevention/hp-prevention-overview-pdq</w:t>
      </w:r>
    </w:p>
    <w:p>
      <w:pPr>
        <w:pStyle w:val="Caption"/>
      </w:pPr>
      <w:r>
        <w:t>Quellen, Links und Formulierungen zuletzt fachlich geprüft am 20. August 2026. Die Evidenzstufen beziehen sich auf die jeweils genannten Institutionen; neue Forschung kann Bewertungen verändern.</w:t>
      </w:r>
    </w:p>
    <w:sectPr>
      <w:pgSz w:w="16838" w:h="11906" w:orient="landscape"/>
      <w:pgMar w:top="720" w:right="720" w:bottom="720" w:left="720" w:header="360" w:footer="360" w:gutter="0"/>
      <w:cols w:space="720"/>
      <w:docGrid w:linePitch="36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tabs>
          <w:tab w:val="num" w:pos="360"/>
        </w:tabs>
        <w:ind w:left="360" w:hanging="240"/>
      </w:pPr>
      <w:rPr>
        <w:rFonts w:ascii="Arial" w:hAnsi="Arial"/>
      </w:rPr>
    </w:lvl>
  </w:abstractNum>
  <w:num w:numId="1">
    <w:abstractNumId w:val="0"/>
  </w:num>
</w:numbering>
</file>

<file path=word/styles.xml><?xml version="1.0" encoding="utf-8"?>
<w:styles xmlns:w="http://schemas.openxmlformats.org/wordprocessingml/2006/main">
  <w:docDefaults>
    <w:rPrDefault>
      <w:rPr>
        <w:rFonts w:ascii="Aptos" w:hAnsi="Aptos" w:eastAsia="Aptos"/>
        <w:sz w:val="20"/>
        <w:szCs w:val="20"/>
        <w:color w:val="1F2937"/>
      </w:rPr>
    </w:rPrDefault>
    <w:pPrDefault>
      <w:pPr>
        <w:spacing w:after="120" w:line="276" w:lineRule="auto"/>
      </w:pPr>
    </w:pPrDefault>
  </w:docDefaults>
  <w:style w:type="paragraph" w:default="1" w:styleId="Normal">
    <w:name w:val="Normal"/>
    <w:qFormat/>
    <w:pPr>
      <w:spacing w:after="120"/>
    </w:pPr>
  </w:style>
  <w:style w:type="paragraph" w:styleId="Title">
    <w:name w:val="Title"/>
    <w:basedOn w:val="Normal"/>
    <w:next w:val="Subtitle"/>
    <w:qFormat/>
    <w:pPr>
      <w:spacing w:before="240" w:after="120"/>
      <w:jc w:val="center"/>
    </w:pPr>
    <w:rPr>
      <w:b/>
      <w:color w:val="12372A"/>
      <w:sz w:val="38"/>
      <w:szCs w:val="38"/>
    </w:rPr>
  </w:style>
  <w:style w:type="paragraph" w:styleId="Subtitle">
    <w:name w:val="Subtitle"/>
    <w:basedOn w:val="Normal"/>
    <w:qFormat/>
    <w:pPr>
      <w:spacing w:after="180"/>
      <w:jc w:val="center"/>
    </w:pPr>
    <w:rPr>
      <w:color w:val="475569"/>
      <w:sz w:val="24"/>
      <w:szCs w:val="24"/>
    </w:rPr>
  </w:style>
  <w:style w:type="paragraph" w:styleId="Draft">
    <w:name w:val="Draft"/>
    <w:basedOn w:val="Normal"/>
    <w:pPr>
      <w:spacing w:before="80" w:after="80"/>
      <w:shd w:val="clear" w:fill="D1FAE5"/>
      <w:jc w:val="center"/>
    </w:pPr>
  </w:style>
  <w:style w:type="paragraph" w:styleId="Meta">
    <w:name w:val="Meta"/>
    <w:basedOn w:val="Normal"/>
    <w:pPr>
      <w:spacing w:after="240"/>
      <w:jc w:val="center"/>
    </w:pPr>
    <w:rPr>
      <w:color w:val="64748B"/>
      <w:i/>
      <w:sz w:val="18"/>
    </w:rPr>
  </w:style>
  <w:style w:type="paragraph" w:styleId="Heading1">
    <w:name w:val="heading 1"/>
    <w:basedOn w:val="Normal"/>
    <w:next w:val="Normal"/>
    <w:qFormat/>
    <w:pPr>
      <w:keepNext/>
      <w:pageBreakBefore/>
      <w:spacing w:before="120" w:after="160"/>
      <w:outlineLvl w:val="0"/>
    </w:pPr>
    <w:rPr>
      <w:b/>
      <w:color w:val="12372A"/>
      <w:sz w:val="28"/>
      <w:szCs w:val="28"/>
    </w:rPr>
  </w:style>
  <w:style w:type="paragraph" w:styleId="Heading2">
    <w:name w:val="heading 2"/>
    <w:basedOn w:val="Normal"/>
    <w:qFormat/>
    <w:pPr>
      <w:keepNext/>
      <w:spacing w:before="160" w:after="80"/>
      <w:outlineLvl w:val="1"/>
    </w:pPr>
    <w:rPr>
      <w:b/>
      <w:color w:val="0F766E"/>
      <w:sz w:val="23"/>
    </w:rPr>
  </w:style>
  <w:style w:type="paragraph" w:styleId="SectionIntro">
    <w:name w:val="Section Intro"/>
    <w:basedOn w:val="Normal"/>
    <w:pPr>
      <w:keepNext/>
      <w:spacing w:after="120"/>
    </w:pPr>
    <w:rPr>
      <w:i/>
      <w:color w:val="475569"/>
    </w:rPr>
  </w:style>
  <w:style w:type="paragraph" w:styleId="Note">
    <w:name w:val="Note"/>
    <w:basedOn w:val="Normal"/>
    <w:pPr>
      <w:spacing w:before="80" w:after="160"/>
      <w:ind w:left="180" w:right="180"/>
      <w:shd w:val="clear" w:fill="FFF7ED"/>
      <w:pbdr>
        <w:left w:val="single" w:sz="18" w:color="F59E0B"/>
      </w:pbdr>
    </w:pPr>
    <w:rPr>
      <w:color w:val="7C2D12"/>
    </w:rPr>
  </w:style>
  <w:style w:type="paragraph" w:styleId="Callout">
    <w:name w:val="Callout"/>
    <w:basedOn w:val="Normal"/>
    <w:pPr>
      <w:spacing w:before="100" w:after="180"/>
      <w:ind w:left="200" w:right="200"/>
      <w:shd w:val="clear" w:fill="ECFDF5"/>
      <w:pbdr>
        <w:left w:val="single" w:sz="18" w:color="10B981"/>
      </w:pbdr>
    </w:pPr>
    <w:rPr>
      <w:b/>
      <w:color w:val="064E3B"/>
      <w:sz w:val="21"/>
    </w:rPr>
  </w:style>
  <w:style w:type="paragraph" w:styleId="Caption">
    <w:name w:val="Caption"/>
    <w:basedOn w:val="Normal"/>
    <w:pPr>
      <w:spacing w:before="80" w:after="160"/>
    </w:pPr>
    <w:rPr>
      <w:i/>
      <w:color w:val="64748B"/>
      <w:sz w:val="17"/>
    </w:rPr>
  </w:style>
  <w:style w:type="paragraph" w:styleId="Source">
    <w:name w:val="Source"/>
    <w:basedOn w:val="Normal"/>
    <w:pPr>
      <w:spacing w:after="80"/>
      <w:ind w:hanging="240" w:left="240"/>
    </w:pPr>
    <w:rPr>
      <w:color w:val="334155"/>
      <w:sz w:val="17"/>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Microsoft Office Word</Application>
  <DocSecurity>0</DocSecurity>
  <ScaleCrop>false</ScaleCrop>
  <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Karzinogene und potenziell schützende Faktoren in Tier- und Pflanzenprodukten</dc:title>
  <dc:subject>Ernährung und Krebsprävention</dc:subject>
  <dc:creator>Daniel Böhm – redaktioneller Entwurf</dc:creator>
  <cp:keywords>Karzinogene, Ernährung, Tierprodukte, Pflanzenprodukte, Krebsprävention, Evidenz</cp:keywords>
  <dc:description>Finalisierte Fachinformation; Quellen und Formulierungen geprüft am 20. August 2026.</dc:description>
  <dcterms:created xsi:type="dcterms:W3CDTF">2026-08-20T00:00:00Z</dcterms:created>
  <dcterms:modified xsi:type="dcterms:W3CDTF">2026-08-20T00:00:00Z</dcterms:modified>
</cp:coreProperties>
</file>